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2F71C" w14:textId="77777777" w:rsidR="00D36779" w:rsidRPr="00D36779" w:rsidRDefault="00D36779" w:rsidP="00D36779">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36779">
        <w:rPr>
          <w:rFonts w:ascii="Segoe UI" w:eastAsia="Times New Roman" w:hAnsi="Segoe UI" w:cs="Segoe UI"/>
          <w:b/>
          <w:bCs/>
          <w:kern w:val="0"/>
          <w:sz w:val="36"/>
          <w:szCs w:val="36"/>
          <w:lang w:eastAsia="en-GB"/>
          <w14:ligatures w14:val="none"/>
        </w:rPr>
        <w:t>Head of Trade Compliance</w:t>
      </w:r>
    </w:p>
    <w:p w14:paraId="046E25A8" w14:textId="77777777" w:rsidR="00D36779" w:rsidRDefault="00D36779" w:rsidP="00D36779">
      <w:pPr>
        <w:spacing w:after="0"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b/>
          <w:bCs/>
          <w:kern w:val="0"/>
          <w:sz w:val="21"/>
          <w:szCs w:val="21"/>
          <w:lang w:eastAsia="en-GB"/>
          <w14:ligatures w14:val="none"/>
        </w:rPr>
        <w:t>Location:</w:t>
      </w:r>
      <w:r w:rsidRPr="00D36779">
        <w:rPr>
          <w:rFonts w:ascii="Segoe UI" w:eastAsia="Times New Roman" w:hAnsi="Segoe UI" w:cs="Segoe UI"/>
          <w:kern w:val="0"/>
          <w:sz w:val="21"/>
          <w:szCs w:val="21"/>
          <w:lang w:eastAsia="en-GB"/>
          <w14:ligatures w14:val="none"/>
        </w:rPr>
        <w:t xml:space="preserve"> [Hybrid / Office-based]</w:t>
      </w:r>
      <w:r w:rsidRPr="00D36779">
        <w:rPr>
          <w:rFonts w:ascii="Segoe UI" w:eastAsia="Times New Roman" w:hAnsi="Segoe UI" w:cs="Segoe UI"/>
          <w:kern w:val="0"/>
          <w:sz w:val="21"/>
          <w:szCs w:val="21"/>
          <w:lang w:eastAsia="en-GB"/>
          <w14:ligatures w14:val="none"/>
        </w:rPr>
        <w:br/>
      </w:r>
      <w:r w:rsidRPr="00D36779">
        <w:rPr>
          <w:rFonts w:ascii="Segoe UI" w:eastAsia="Times New Roman" w:hAnsi="Segoe UI" w:cs="Segoe UI"/>
          <w:b/>
          <w:bCs/>
          <w:kern w:val="0"/>
          <w:sz w:val="21"/>
          <w:szCs w:val="21"/>
          <w:lang w:eastAsia="en-GB"/>
          <w14:ligatures w14:val="none"/>
        </w:rPr>
        <w:t>Reports to:</w:t>
      </w:r>
      <w:r w:rsidRPr="00D36779">
        <w:rPr>
          <w:rFonts w:ascii="Segoe UI" w:eastAsia="Times New Roman" w:hAnsi="Segoe UI" w:cs="Segoe UI"/>
          <w:kern w:val="0"/>
          <w:sz w:val="21"/>
          <w:szCs w:val="21"/>
          <w:lang w:eastAsia="en-GB"/>
          <w14:ligatures w14:val="none"/>
        </w:rPr>
        <w:t xml:space="preserve"> Global Vice President Contracts and Commercial</w:t>
      </w:r>
    </w:p>
    <w:p w14:paraId="111636DF" w14:textId="47362D21" w:rsidR="00D36779" w:rsidRDefault="00D36779" w:rsidP="00D36779">
      <w:pPr>
        <w:spacing w:after="0"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b/>
          <w:bCs/>
          <w:kern w:val="0"/>
          <w:sz w:val="21"/>
          <w:szCs w:val="21"/>
          <w:lang w:eastAsia="en-GB"/>
          <w14:ligatures w14:val="none"/>
        </w:rPr>
        <w:t>Level:</w:t>
      </w:r>
      <w:r w:rsidRPr="00D36779">
        <w:rPr>
          <w:rFonts w:ascii="Segoe UI" w:eastAsia="Times New Roman" w:hAnsi="Segoe UI" w:cs="Segoe UI"/>
          <w:kern w:val="0"/>
          <w:sz w:val="21"/>
          <w:szCs w:val="21"/>
          <w:lang w:eastAsia="en-GB"/>
          <w14:ligatures w14:val="none"/>
        </w:rPr>
        <w:t xml:space="preserve"> </w:t>
      </w:r>
      <w:r>
        <w:rPr>
          <w:rFonts w:ascii="Segoe UI" w:eastAsia="Times New Roman" w:hAnsi="Segoe UI" w:cs="Segoe UI"/>
          <w:kern w:val="0"/>
          <w:sz w:val="21"/>
          <w:szCs w:val="21"/>
          <w:lang w:eastAsia="en-GB"/>
          <w14:ligatures w14:val="none"/>
        </w:rPr>
        <w:t xml:space="preserve">Extended </w:t>
      </w:r>
      <w:r w:rsidRPr="00D36779">
        <w:rPr>
          <w:rFonts w:ascii="Segoe UI" w:eastAsia="Times New Roman" w:hAnsi="Segoe UI" w:cs="Segoe UI"/>
          <w:kern w:val="0"/>
          <w:sz w:val="21"/>
          <w:szCs w:val="21"/>
          <w:lang w:eastAsia="en-GB"/>
          <w14:ligatures w14:val="none"/>
        </w:rPr>
        <w:t xml:space="preserve">Leadership </w:t>
      </w:r>
      <w:r>
        <w:rPr>
          <w:rFonts w:ascii="Segoe UI" w:eastAsia="Times New Roman" w:hAnsi="Segoe UI" w:cs="Segoe UI"/>
          <w:kern w:val="0"/>
          <w:sz w:val="21"/>
          <w:szCs w:val="21"/>
          <w:lang w:eastAsia="en-GB"/>
          <w14:ligatures w14:val="none"/>
        </w:rPr>
        <w:t xml:space="preserve">Team </w:t>
      </w:r>
    </w:p>
    <w:p w14:paraId="72F53296" w14:textId="5D5E98BB" w:rsidR="00D36779" w:rsidRPr="00D36779" w:rsidRDefault="00D36779" w:rsidP="00D36779">
      <w:pPr>
        <w:spacing w:before="100" w:beforeAutospacing="1" w:after="100" w:afterAutospacing="1" w:line="300" w:lineRule="atLeast"/>
        <w:rPr>
          <w:rFonts w:ascii="Segoe UI" w:eastAsia="Times New Roman" w:hAnsi="Segoe UI" w:cs="Segoe UI"/>
          <w:b/>
          <w:bCs/>
          <w:kern w:val="0"/>
          <w:sz w:val="27"/>
          <w:szCs w:val="27"/>
          <w:lang w:eastAsia="en-GB"/>
          <w14:ligatures w14:val="none"/>
        </w:rPr>
      </w:pPr>
      <w:r w:rsidRPr="00D36779">
        <w:rPr>
          <w:rFonts w:ascii="Segoe UI" w:eastAsia="Times New Roman" w:hAnsi="Segoe UI" w:cs="Segoe UI"/>
          <w:b/>
          <w:bCs/>
          <w:kern w:val="0"/>
          <w:sz w:val="27"/>
          <w:szCs w:val="27"/>
          <w:lang w:eastAsia="en-GB"/>
          <w14:ligatures w14:val="none"/>
        </w:rPr>
        <w:t>Role Overview</w:t>
      </w:r>
    </w:p>
    <w:p w14:paraId="43A2AB97" w14:textId="77777777" w:rsidR="00D36779" w:rsidRPr="00D36779" w:rsidRDefault="00D36779" w:rsidP="00D36779">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The Head of Trade Compliance is responsible for establishing, leading, and continuously improving the organisation’s global trade compliance framework. This role ensures full compliance with applicable import, export, customs, sanctions, embargoes, and trade control regulations, while enabling the business to operate efficiently and competitively across international markets.</w:t>
      </w:r>
    </w:p>
    <w:p w14:paraId="529D8683" w14:textId="77777777" w:rsidR="00D36779" w:rsidRPr="00D36779" w:rsidRDefault="00D36779" w:rsidP="00D36779">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The role acts as the key subject matter expert and strategic advisor to senior leadership on trade compliance risk, regulatory change, and operational integration.</w:t>
      </w:r>
    </w:p>
    <w:p w14:paraId="003E3473" w14:textId="77777777" w:rsidR="00D36779" w:rsidRPr="00D36779" w:rsidRDefault="00D36779" w:rsidP="00D36779">
      <w:pPr>
        <w:spacing w:after="0"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pict w14:anchorId="3118CE51">
          <v:rect id="_x0000_i1025" style="width:0;height:1.5pt" o:hralign="center" o:hrstd="t" o:hr="t" fillcolor="#a0a0a0" stroked="f"/>
        </w:pict>
      </w:r>
    </w:p>
    <w:p w14:paraId="6D6EBF9F" w14:textId="77777777" w:rsidR="00D36779" w:rsidRPr="00D36779" w:rsidRDefault="00D36779" w:rsidP="00D36779">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36779">
        <w:rPr>
          <w:rFonts w:ascii="Segoe UI" w:eastAsia="Times New Roman" w:hAnsi="Segoe UI" w:cs="Segoe UI"/>
          <w:b/>
          <w:bCs/>
          <w:kern w:val="0"/>
          <w:sz w:val="27"/>
          <w:szCs w:val="27"/>
          <w:lang w:eastAsia="en-GB"/>
          <w14:ligatures w14:val="none"/>
        </w:rPr>
        <w:t>Key Responsibilities</w:t>
      </w:r>
    </w:p>
    <w:p w14:paraId="4CBA182B" w14:textId="77777777" w:rsidR="00D36779" w:rsidRPr="00D36779" w:rsidRDefault="00D36779" w:rsidP="00D36779">
      <w:pPr>
        <w:spacing w:before="100" w:beforeAutospacing="1" w:after="100" w:afterAutospacing="1" w:line="300" w:lineRule="atLeast"/>
        <w:outlineLvl w:val="3"/>
        <w:rPr>
          <w:rFonts w:ascii="Segoe UI" w:eastAsia="Times New Roman" w:hAnsi="Segoe UI" w:cs="Segoe UI"/>
          <w:b/>
          <w:bCs/>
          <w:kern w:val="0"/>
          <w:lang w:eastAsia="en-GB"/>
          <w14:ligatures w14:val="none"/>
        </w:rPr>
      </w:pPr>
      <w:r w:rsidRPr="00D36779">
        <w:rPr>
          <w:rFonts w:ascii="Segoe UI" w:eastAsia="Times New Roman" w:hAnsi="Segoe UI" w:cs="Segoe UI"/>
          <w:b/>
          <w:bCs/>
          <w:kern w:val="0"/>
          <w:lang w:eastAsia="en-GB"/>
          <w14:ligatures w14:val="none"/>
        </w:rPr>
        <w:t>Strategy &amp; Governance</w:t>
      </w:r>
    </w:p>
    <w:p w14:paraId="1A3E16F2" w14:textId="77777777" w:rsidR="00D36779" w:rsidRPr="00D36779" w:rsidRDefault="00D36779" w:rsidP="00D36779">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Develop, implement, and maintain a global trade compliance strategy aligned with business objectives and regulatory requirements.</w:t>
      </w:r>
    </w:p>
    <w:p w14:paraId="5B02F5EA" w14:textId="77777777" w:rsidR="00D36779" w:rsidRPr="00D36779" w:rsidRDefault="00D36779" w:rsidP="00D36779">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Establish trade compliance governance frameworks, policies, standards, and procedures across all regions.</w:t>
      </w:r>
    </w:p>
    <w:p w14:paraId="1BA0EE19" w14:textId="77777777" w:rsidR="00D36779" w:rsidRPr="00D36779" w:rsidRDefault="00D36779" w:rsidP="00D36779">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Act as the organisation’s primary authority on trade compliance matters and escalation point for complex issues.</w:t>
      </w:r>
    </w:p>
    <w:p w14:paraId="07DAF1A1" w14:textId="77777777" w:rsidR="00D36779" w:rsidRPr="00D36779" w:rsidRDefault="00D36779" w:rsidP="00D36779">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Provide regular reporting and risk insight to senior leadership, Audit Committee, and Board as required.</w:t>
      </w:r>
    </w:p>
    <w:p w14:paraId="757457F8" w14:textId="77777777" w:rsidR="00D36779" w:rsidRPr="00D36779" w:rsidRDefault="00D36779" w:rsidP="00D36779">
      <w:pPr>
        <w:spacing w:before="100" w:beforeAutospacing="1" w:after="100" w:afterAutospacing="1" w:line="300" w:lineRule="atLeast"/>
        <w:outlineLvl w:val="3"/>
        <w:rPr>
          <w:rFonts w:ascii="Segoe UI" w:eastAsia="Times New Roman" w:hAnsi="Segoe UI" w:cs="Segoe UI"/>
          <w:b/>
          <w:bCs/>
          <w:kern w:val="0"/>
          <w:lang w:eastAsia="en-GB"/>
          <w14:ligatures w14:val="none"/>
        </w:rPr>
      </w:pPr>
      <w:r w:rsidRPr="00D36779">
        <w:rPr>
          <w:rFonts w:ascii="Segoe UI" w:eastAsia="Times New Roman" w:hAnsi="Segoe UI" w:cs="Segoe UI"/>
          <w:b/>
          <w:bCs/>
          <w:kern w:val="0"/>
          <w:lang w:eastAsia="en-GB"/>
          <w14:ligatures w14:val="none"/>
        </w:rPr>
        <w:t>Regulatory Compliance</w:t>
      </w:r>
    </w:p>
    <w:p w14:paraId="0B5FC4ED" w14:textId="77777777" w:rsidR="00D36779" w:rsidRPr="00D36779" w:rsidRDefault="00D36779" w:rsidP="00D3677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 xml:space="preserve">Ensure compliance with all applicable regulations, including but not limited to: </w:t>
      </w:r>
    </w:p>
    <w:p w14:paraId="74126713" w14:textId="77777777" w:rsidR="00D36779" w:rsidRPr="00D36779" w:rsidRDefault="00D36779" w:rsidP="00D36779">
      <w:pPr>
        <w:numPr>
          <w:ilvl w:val="1"/>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UK, EU, US and other international export control regimes (e.g. UK Export Control Order, EU Dual-Use Regulation, EAR, ITAR)</w:t>
      </w:r>
    </w:p>
    <w:p w14:paraId="01093FD7" w14:textId="77777777" w:rsidR="00D36779" w:rsidRPr="00D36779" w:rsidRDefault="00D36779" w:rsidP="00D36779">
      <w:pPr>
        <w:numPr>
          <w:ilvl w:val="1"/>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Customs and import regulations (classification, valuation, origin, preference)</w:t>
      </w:r>
    </w:p>
    <w:p w14:paraId="5AE2B900" w14:textId="77777777" w:rsidR="00D36779" w:rsidRPr="00D36779" w:rsidRDefault="00D36779" w:rsidP="00D36779">
      <w:pPr>
        <w:numPr>
          <w:ilvl w:val="1"/>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Sanctions and embargo regulations (OFSI, EU, OFAC)</w:t>
      </w:r>
    </w:p>
    <w:p w14:paraId="46E0210C" w14:textId="77777777" w:rsidR="00D36779" w:rsidRPr="00D36779" w:rsidRDefault="00D36779" w:rsidP="00D3677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Monitor regulatory changes globally, assess business impact, and implement required actions.</w:t>
      </w:r>
    </w:p>
    <w:p w14:paraId="1F60ABD1" w14:textId="77777777" w:rsidR="00D36779" w:rsidRPr="00D36779" w:rsidRDefault="00D36779" w:rsidP="00D3677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Manage licensing strategies and authorisations, ensuring effective control and utilisation.</w:t>
      </w:r>
    </w:p>
    <w:p w14:paraId="5AAC3E53" w14:textId="77777777" w:rsidR="00D36779" w:rsidRPr="00D36779" w:rsidRDefault="00D36779" w:rsidP="00D36779">
      <w:pPr>
        <w:spacing w:before="100" w:beforeAutospacing="1" w:after="100" w:afterAutospacing="1" w:line="300" w:lineRule="atLeast"/>
        <w:outlineLvl w:val="3"/>
        <w:rPr>
          <w:rFonts w:ascii="Segoe UI" w:eastAsia="Times New Roman" w:hAnsi="Segoe UI" w:cs="Segoe UI"/>
          <w:b/>
          <w:bCs/>
          <w:kern w:val="0"/>
          <w:lang w:eastAsia="en-GB"/>
          <w14:ligatures w14:val="none"/>
        </w:rPr>
      </w:pPr>
      <w:r w:rsidRPr="00D36779">
        <w:rPr>
          <w:rFonts w:ascii="Segoe UI" w:eastAsia="Times New Roman" w:hAnsi="Segoe UI" w:cs="Segoe UI"/>
          <w:b/>
          <w:bCs/>
          <w:kern w:val="0"/>
          <w:lang w:eastAsia="en-GB"/>
          <w14:ligatures w14:val="none"/>
        </w:rPr>
        <w:t>Risk Management &amp; Assurance</w:t>
      </w:r>
    </w:p>
    <w:p w14:paraId="1CDFE858" w14:textId="77777777" w:rsidR="00D36779" w:rsidRPr="00D36779" w:rsidRDefault="00D36779" w:rsidP="00D36779">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Identify, assess, and mitigate trade compliance risks across the organisation.</w:t>
      </w:r>
    </w:p>
    <w:p w14:paraId="54E14AEA" w14:textId="77777777" w:rsidR="00D36779" w:rsidRPr="00D36779" w:rsidRDefault="00D36779" w:rsidP="00D36779">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lastRenderedPageBreak/>
        <w:t>Lead internal compliance audits, self-assessments, and gap analyses.</w:t>
      </w:r>
    </w:p>
    <w:p w14:paraId="6203CFC4" w14:textId="77777777" w:rsidR="00D36779" w:rsidRPr="00D36779" w:rsidRDefault="00D36779" w:rsidP="00D36779">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Oversee investigations into potential violations and lead corrective and preventive actions.</w:t>
      </w:r>
    </w:p>
    <w:p w14:paraId="47468D76" w14:textId="77777777" w:rsidR="00D36779" w:rsidRPr="00D36779" w:rsidRDefault="00D36779" w:rsidP="00D36779">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Act as the primary interface with regulatory authorities during audits, inquiries, or disclosures.</w:t>
      </w:r>
    </w:p>
    <w:p w14:paraId="78ADB9FC" w14:textId="77777777" w:rsidR="00D36779" w:rsidRPr="00D36779" w:rsidRDefault="00D36779" w:rsidP="00D36779">
      <w:pPr>
        <w:spacing w:before="100" w:beforeAutospacing="1" w:after="100" w:afterAutospacing="1" w:line="300" w:lineRule="atLeast"/>
        <w:outlineLvl w:val="3"/>
        <w:rPr>
          <w:rFonts w:ascii="Segoe UI" w:eastAsia="Times New Roman" w:hAnsi="Segoe UI" w:cs="Segoe UI"/>
          <w:b/>
          <w:bCs/>
          <w:kern w:val="0"/>
          <w:lang w:eastAsia="en-GB"/>
          <w14:ligatures w14:val="none"/>
        </w:rPr>
      </w:pPr>
      <w:r w:rsidRPr="00D36779">
        <w:rPr>
          <w:rFonts w:ascii="Segoe UI" w:eastAsia="Times New Roman" w:hAnsi="Segoe UI" w:cs="Segoe UI"/>
          <w:b/>
          <w:bCs/>
          <w:kern w:val="0"/>
          <w:lang w:eastAsia="en-GB"/>
          <w14:ligatures w14:val="none"/>
        </w:rPr>
        <w:t>Operational Integration</w:t>
      </w:r>
    </w:p>
    <w:p w14:paraId="3BC4FBBF" w14:textId="77777777" w:rsidR="00D36779" w:rsidRPr="00D36779" w:rsidRDefault="00D36779" w:rsidP="00D36779">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 xml:space="preserve">Embed trade compliance requirements into business processes, including: </w:t>
      </w:r>
    </w:p>
    <w:p w14:paraId="40A3E089" w14:textId="5B10D032" w:rsidR="006F5647" w:rsidRDefault="006F5647" w:rsidP="00D36779">
      <w:pPr>
        <w:numPr>
          <w:ilvl w:val="1"/>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Business Development</w:t>
      </w:r>
    </w:p>
    <w:p w14:paraId="0EFAAA54" w14:textId="3660F500" w:rsidR="00D36779" w:rsidRPr="00D36779" w:rsidRDefault="00D36779" w:rsidP="00D36779">
      <w:pPr>
        <w:numPr>
          <w:ilvl w:val="1"/>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Sales and order management</w:t>
      </w:r>
    </w:p>
    <w:p w14:paraId="4165071F" w14:textId="77777777" w:rsidR="00D36779" w:rsidRPr="00D36779" w:rsidRDefault="00D36779" w:rsidP="00D36779">
      <w:pPr>
        <w:numPr>
          <w:ilvl w:val="1"/>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Supply chain and logistics</w:t>
      </w:r>
    </w:p>
    <w:p w14:paraId="5BCF095A" w14:textId="77777777" w:rsidR="00D36779" w:rsidRPr="00D36779" w:rsidRDefault="00D36779" w:rsidP="00D36779">
      <w:pPr>
        <w:numPr>
          <w:ilvl w:val="1"/>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Engineering, product development, and classification</w:t>
      </w:r>
    </w:p>
    <w:p w14:paraId="30A69A69" w14:textId="77777777" w:rsidR="00D36779" w:rsidRPr="00D36779" w:rsidRDefault="00D36779" w:rsidP="00D36779">
      <w:pPr>
        <w:numPr>
          <w:ilvl w:val="1"/>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M&amp;A and new market entry activities</w:t>
      </w:r>
    </w:p>
    <w:p w14:paraId="027E8A63" w14:textId="77777777" w:rsidR="00D36779" w:rsidRPr="00D36779" w:rsidRDefault="00D36779" w:rsidP="00D36779">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Provide practical, risk-based advice to support operational decision-making.</w:t>
      </w:r>
    </w:p>
    <w:p w14:paraId="4B8F9C14" w14:textId="77777777" w:rsidR="00D36779" w:rsidRPr="00D36779" w:rsidRDefault="00D36779" w:rsidP="00D36779">
      <w:pPr>
        <w:spacing w:before="100" w:beforeAutospacing="1" w:after="100" w:afterAutospacing="1" w:line="300" w:lineRule="atLeast"/>
        <w:outlineLvl w:val="3"/>
        <w:rPr>
          <w:rFonts w:ascii="Segoe UI" w:eastAsia="Times New Roman" w:hAnsi="Segoe UI" w:cs="Segoe UI"/>
          <w:b/>
          <w:bCs/>
          <w:kern w:val="0"/>
          <w:lang w:eastAsia="en-GB"/>
          <w14:ligatures w14:val="none"/>
        </w:rPr>
      </w:pPr>
      <w:r w:rsidRPr="00D36779">
        <w:rPr>
          <w:rFonts w:ascii="Segoe UI" w:eastAsia="Times New Roman" w:hAnsi="Segoe UI" w:cs="Segoe UI"/>
          <w:b/>
          <w:bCs/>
          <w:kern w:val="0"/>
          <w:lang w:eastAsia="en-GB"/>
          <w14:ligatures w14:val="none"/>
        </w:rPr>
        <w:t>Leadership &amp; Capability Building</w:t>
      </w:r>
    </w:p>
    <w:p w14:paraId="5F639A3C" w14:textId="17462F5C" w:rsidR="00D36779" w:rsidRPr="00D36779" w:rsidRDefault="00D36779" w:rsidP="00D36779">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 xml:space="preserve">Lead, develop, and mentor </w:t>
      </w:r>
      <w:r w:rsidR="006F5647">
        <w:rPr>
          <w:rFonts w:ascii="Segoe UI" w:eastAsia="Times New Roman" w:hAnsi="Segoe UI" w:cs="Segoe UI"/>
          <w:kern w:val="0"/>
          <w:sz w:val="21"/>
          <w:szCs w:val="21"/>
          <w:lang w:eastAsia="en-GB"/>
          <w14:ligatures w14:val="none"/>
        </w:rPr>
        <w:t xml:space="preserve">the UK </w:t>
      </w:r>
      <w:r w:rsidRPr="00D36779">
        <w:rPr>
          <w:rFonts w:ascii="Segoe UI" w:eastAsia="Times New Roman" w:hAnsi="Segoe UI" w:cs="Segoe UI"/>
          <w:kern w:val="0"/>
          <w:sz w:val="21"/>
          <w:szCs w:val="21"/>
          <w:lang w:eastAsia="en-GB"/>
          <w14:ligatures w14:val="none"/>
        </w:rPr>
        <w:t>trade compliance team.</w:t>
      </w:r>
    </w:p>
    <w:p w14:paraId="0B20E104" w14:textId="77777777" w:rsidR="00D36779" w:rsidRPr="00D36779" w:rsidRDefault="00D36779" w:rsidP="00D36779">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Define team structure, resourcing strategy, and capability requirements.</w:t>
      </w:r>
    </w:p>
    <w:p w14:paraId="07651B8A" w14:textId="77777777" w:rsidR="00D36779" w:rsidRPr="00D36779" w:rsidRDefault="00D36779" w:rsidP="00D36779">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Establish and deliver effective training programmes for employees, management, and key business functions.</w:t>
      </w:r>
    </w:p>
    <w:p w14:paraId="4CDE42BE" w14:textId="77777777" w:rsidR="00D36779" w:rsidRPr="00D36779" w:rsidRDefault="00D36779" w:rsidP="00D36779">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Foster a strong culture of compliance, accountability, and ethical conduct.</w:t>
      </w:r>
    </w:p>
    <w:p w14:paraId="05B3430D" w14:textId="77777777" w:rsidR="00D36779" w:rsidRPr="00D36779" w:rsidRDefault="00D36779" w:rsidP="00D36779">
      <w:pPr>
        <w:spacing w:before="100" w:beforeAutospacing="1" w:after="100" w:afterAutospacing="1" w:line="300" w:lineRule="atLeast"/>
        <w:outlineLvl w:val="3"/>
        <w:rPr>
          <w:rFonts w:ascii="Segoe UI" w:eastAsia="Times New Roman" w:hAnsi="Segoe UI" w:cs="Segoe UI"/>
          <w:b/>
          <w:bCs/>
          <w:kern w:val="0"/>
          <w:lang w:eastAsia="en-GB"/>
          <w14:ligatures w14:val="none"/>
        </w:rPr>
      </w:pPr>
      <w:r w:rsidRPr="00D36779">
        <w:rPr>
          <w:rFonts w:ascii="Segoe UI" w:eastAsia="Times New Roman" w:hAnsi="Segoe UI" w:cs="Segoe UI"/>
          <w:b/>
          <w:bCs/>
          <w:kern w:val="0"/>
          <w:lang w:eastAsia="en-GB"/>
          <w14:ligatures w14:val="none"/>
        </w:rPr>
        <w:t>Stakeholder &amp; Cross-Functional Engagement</w:t>
      </w:r>
    </w:p>
    <w:p w14:paraId="491FFCE6" w14:textId="62715800" w:rsidR="00D36779" w:rsidRPr="00D36779" w:rsidRDefault="00D36779" w:rsidP="00D36779">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 xml:space="preserve">Partner closely with </w:t>
      </w:r>
      <w:r w:rsidR="006F5647">
        <w:rPr>
          <w:rFonts w:ascii="Segoe UI" w:eastAsia="Times New Roman" w:hAnsi="Segoe UI" w:cs="Segoe UI"/>
          <w:kern w:val="0"/>
          <w:sz w:val="21"/>
          <w:szCs w:val="21"/>
          <w:lang w:eastAsia="en-GB"/>
          <w14:ligatures w14:val="none"/>
        </w:rPr>
        <w:t>Commercial</w:t>
      </w:r>
      <w:r w:rsidRPr="00D36779">
        <w:rPr>
          <w:rFonts w:ascii="Segoe UI" w:eastAsia="Times New Roman" w:hAnsi="Segoe UI" w:cs="Segoe UI"/>
          <w:kern w:val="0"/>
          <w:sz w:val="21"/>
          <w:szCs w:val="21"/>
          <w:lang w:eastAsia="en-GB"/>
          <w14:ligatures w14:val="none"/>
        </w:rPr>
        <w:t xml:space="preserve">, Supply Chain, </w:t>
      </w:r>
      <w:r w:rsidR="006F5647">
        <w:rPr>
          <w:rFonts w:ascii="Segoe UI" w:eastAsia="Times New Roman" w:hAnsi="Segoe UI" w:cs="Segoe UI"/>
          <w:kern w:val="0"/>
          <w:sz w:val="21"/>
          <w:szCs w:val="21"/>
          <w:lang w:eastAsia="en-GB"/>
          <w14:ligatures w14:val="none"/>
        </w:rPr>
        <w:t>Business Development</w:t>
      </w:r>
      <w:r w:rsidRPr="00D36779">
        <w:rPr>
          <w:rFonts w:ascii="Segoe UI" w:eastAsia="Times New Roman" w:hAnsi="Segoe UI" w:cs="Segoe UI"/>
          <w:kern w:val="0"/>
          <w:sz w:val="21"/>
          <w:szCs w:val="21"/>
          <w:lang w:eastAsia="en-GB"/>
          <w14:ligatures w14:val="none"/>
        </w:rPr>
        <w:t>, Engineering, Finance</w:t>
      </w:r>
      <w:r w:rsidR="006F5647">
        <w:rPr>
          <w:rFonts w:ascii="Segoe UI" w:eastAsia="Times New Roman" w:hAnsi="Segoe UI" w:cs="Segoe UI"/>
          <w:kern w:val="0"/>
          <w:sz w:val="21"/>
          <w:szCs w:val="21"/>
          <w:lang w:eastAsia="en-GB"/>
          <w14:ligatures w14:val="none"/>
        </w:rPr>
        <w:t xml:space="preserve">, </w:t>
      </w:r>
      <w:r w:rsidRPr="00D36779">
        <w:rPr>
          <w:rFonts w:ascii="Segoe UI" w:eastAsia="Times New Roman" w:hAnsi="Segoe UI" w:cs="Segoe UI"/>
          <w:kern w:val="0"/>
          <w:sz w:val="21"/>
          <w:szCs w:val="21"/>
          <w:lang w:eastAsia="en-GB"/>
          <w14:ligatures w14:val="none"/>
        </w:rPr>
        <w:t xml:space="preserve">Security, and </w:t>
      </w:r>
      <w:r w:rsidR="006F5647">
        <w:rPr>
          <w:rFonts w:ascii="Segoe UI" w:eastAsia="Times New Roman" w:hAnsi="Segoe UI" w:cs="Segoe UI"/>
          <w:kern w:val="0"/>
          <w:sz w:val="21"/>
          <w:szCs w:val="21"/>
          <w:lang w:eastAsia="en-GB"/>
          <w14:ligatures w14:val="none"/>
        </w:rPr>
        <w:t xml:space="preserve">all other Draken </w:t>
      </w:r>
      <w:r w:rsidRPr="00D36779">
        <w:rPr>
          <w:rFonts w:ascii="Segoe UI" w:eastAsia="Times New Roman" w:hAnsi="Segoe UI" w:cs="Segoe UI"/>
          <w:kern w:val="0"/>
          <w:sz w:val="21"/>
          <w:szCs w:val="21"/>
          <w:lang w:eastAsia="en-GB"/>
          <w14:ligatures w14:val="none"/>
        </w:rPr>
        <w:t>teams.</w:t>
      </w:r>
    </w:p>
    <w:p w14:paraId="6B35DFB7" w14:textId="77777777" w:rsidR="00D36779" w:rsidRPr="00D36779" w:rsidRDefault="00D36779" w:rsidP="00D36779">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Support commercial negotiations and customer engagement where trade compliance considerations apply.</w:t>
      </w:r>
    </w:p>
    <w:p w14:paraId="0CD4595C" w14:textId="77777777" w:rsidR="00D36779" w:rsidRPr="00D36779" w:rsidRDefault="00D36779" w:rsidP="00D36779">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Represent the organisation in external forums, industry groups, and trade associations as appropriate.</w:t>
      </w:r>
    </w:p>
    <w:p w14:paraId="4974C4DC" w14:textId="77777777" w:rsidR="00D36779" w:rsidRPr="00D36779" w:rsidRDefault="00D36779" w:rsidP="00D36779">
      <w:pPr>
        <w:spacing w:after="0"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pict w14:anchorId="1FAFB871">
          <v:rect id="_x0000_i1026" style="width:0;height:1.5pt" o:hralign="center" o:hrstd="t" o:hr="t" fillcolor="#a0a0a0" stroked="f"/>
        </w:pict>
      </w:r>
    </w:p>
    <w:p w14:paraId="1FB10CBB" w14:textId="77777777" w:rsidR="00D36779" w:rsidRPr="00D36779" w:rsidRDefault="00D36779" w:rsidP="00D36779">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36779">
        <w:rPr>
          <w:rFonts w:ascii="Segoe UI" w:eastAsia="Times New Roman" w:hAnsi="Segoe UI" w:cs="Segoe UI"/>
          <w:b/>
          <w:bCs/>
          <w:kern w:val="0"/>
          <w:sz w:val="27"/>
          <w:szCs w:val="27"/>
          <w:lang w:eastAsia="en-GB"/>
          <w14:ligatures w14:val="none"/>
        </w:rPr>
        <w:t>Required Qualifications &amp; Experience</w:t>
      </w:r>
    </w:p>
    <w:p w14:paraId="66422F7B" w14:textId="77777777" w:rsidR="00D36779" w:rsidRPr="00D36779" w:rsidRDefault="00D36779" w:rsidP="00D36779">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Significant experience (typically 10+ years) in trade compliance, export controls, customs, or international trade, with leadership responsibility.</w:t>
      </w:r>
    </w:p>
    <w:p w14:paraId="142481D0" w14:textId="77777777" w:rsidR="00D36779" w:rsidRPr="00D36779" w:rsidRDefault="00D36779" w:rsidP="00D36779">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Demonstrated experience managing trade compliance in a multinational or highly regulated environment.</w:t>
      </w:r>
    </w:p>
    <w:p w14:paraId="5794D344" w14:textId="77777777" w:rsidR="00D36779" w:rsidRPr="00D36779" w:rsidRDefault="00D36779" w:rsidP="00D36779">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Strong working knowledge of UK, EU, and US trade regulations; global experience highly advantageous.</w:t>
      </w:r>
    </w:p>
    <w:p w14:paraId="0379B538" w14:textId="77777777" w:rsidR="00D36779" w:rsidRPr="00D36779" w:rsidRDefault="00D36779" w:rsidP="00D36779">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Proven ability to design and implement enterprise-level compliance frameworks.</w:t>
      </w:r>
    </w:p>
    <w:p w14:paraId="6F29CCD4" w14:textId="77777777" w:rsidR="00D36779" w:rsidRPr="00D36779" w:rsidRDefault="00D36779" w:rsidP="00D36779">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Experience dealing with regulatory authorities and managing audits or disclosures.</w:t>
      </w:r>
    </w:p>
    <w:p w14:paraId="31A3D6A7" w14:textId="77777777" w:rsidR="00D36779" w:rsidRPr="00D36779" w:rsidRDefault="00D36779" w:rsidP="00D36779">
      <w:pPr>
        <w:spacing w:after="0"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lastRenderedPageBreak/>
        <w:pict w14:anchorId="334397AD">
          <v:rect id="_x0000_i1027" style="width:0;height:1.5pt" o:hralign="center" o:hrstd="t" o:hr="t" fillcolor="#a0a0a0" stroked="f"/>
        </w:pict>
      </w:r>
    </w:p>
    <w:p w14:paraId="756EA566" w14:textId="77777777" w:rsidR="00D36779" w:rsidRPr="00D36779" w:rsidRDefault="00D36779" w:rsidP="00D36779">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36779">
        <w:rPr>
          <w:rFonts w:ascii="Segoe UI" w:eastAsia="Times New Roman" w:hAnsi="Segoe UI" w:cs="Segoe UI"/>
          <w:b/>
          <w:bCs/>
          <w:kern w:val="0"/>
          <w:sz w:val="27"/>
          <w:szCs w:val="27"/>
          <w:lang w:eastAsia="en-GB"/>
          <w14:ligatures w14:val="none"/>
        </w:rPr>
        <w:t>Skills &amp; Competencies</w:t>
      </w:r>
    </w:p>
    <w:p w14:paraId="30CC2700" w14:textId="77777777" w:rsidR="00D36779" w:rsidRPr="00D36779" w:rsidRDefault="00D36779" w:rsidP="00D36779">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Strategic leadership with strong commercial awareness.</w:t>
      </w:r>
    </w:p>
    <w:p w14:paraId="23010909" w14:textId="77777777" w:rsidR="00D36779" w:rsidRPr="00D36779" w:rsidRDefault="00D36779" w:rsidP="00D36779">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Excellent stakeholder management and influencing skills at senior levels.</w:t>
      </w:r>
    </w:p>
    <w:p w14:paraId="79C47688" w14:textId="77777777" w:rsidR="00D36779" w:rsidRPr="00D36779" w:rsidRDefault="00D36779" w:rsidP="00D36779">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Strong analytical and risk-based decision-making capability.</w:t>
      </w:r>
    </w:p>
    <w:p w14:paraId="01043E90" w14:textId="77777777" w:rsidR="00D36779" w:rsidRPr="00D36779" w:rsidRDefault="00D36779" w:rsidP="00D36779">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Pragmatic, solutions-oriented mindset with attention to detail.</w:t>
      </w:r>
    </w:p>
    <w:p w14:paraId="1AE0D73B" w14:textId="77777777" w:rsidR="00D36779" w:rsidRPr="00D36779" w:rsidRDefault="00D36779" w:rsidP="00D36779">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Ability to interpret complex regulations and translate them into clear operational guidance.</w:t>
      </w:r>
    </w:p>
    <w:p w14:paraId="3EADBFC3" w14:textId="77777777" w:rsidR="00D36779" w:rsidRPr="00D36779" w:rsidRDefault="00D36779" w:rsidP="00D36779">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High integrity and sound professional judgement.</w:t>
      </w:r>
    </w:p>
    <w:p w14:paraId="2AA26C34" w14:textId="77777777" w:rsidR="00D36779" w:rsidRPr="00D36779" w:rsidRDefault="00D36779" w:rsidP="00D36779">
      <w:pPr>
        <w:spacing w:after="0"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pict w14:anchorId="431E8C68">
          <v:rect id="_x0000_i1028" style="width:0;height:1.5pt" o:hralign="center" o:hrstd="t" o:hr="t" fillcolor="#a0a0a0" stroked="f"/>
        </w:pict>
      </w:r>
    </w:p>
    <w:p w14:paraId="341DC648" w14:textId="77777777" w:rsidR="00D36779" w:rsidRPr="00D36779" w:rsidRDefault="00D36779" w:rsidP="00D36779">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36779">
        <w:rPr>
          <w:rFonts w:ascii="Segoe UI" w:eastAsia="Times New Roman" w:hAnsi="Segoe UI" w:cs="Segoe UI"/>
          <w:b/>
          <w:bCs/>
          <w:kern w:val="0"/>
          <w:sz w:val="27"/>
          <w:szCs w:val="27"/>
          <w:lang w:eastAsia="en-GB"/>
          <w14:ligatures w14:val="none"/>
        </w:rPr>
        <w:t>Education &amp; Professional Certifications (Preferred)</w:t>
      </w:r>
    </w:p>
    <w:p w14:paraId="754C8541" w14:textId="77777777" w:rsidR="00D36779" w:rsidRPr="00D36779" w:rsidRDefault="00D36779" w:rsidP="00D36779">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Degree in Law, International Trade, Supply Chain, Business, or related field.</w:t>
      </w:r>
    </w:p>
    <w:p w14:paraId="13A10B4C" w14:textId="77777777" w:rsidR="00D36779" w:rsidRPr="00D36779" w:rsidRDefault="00D36779" w:rsidP="00D36779">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 xml:space="preserve">Professional certifications such as: </w:t>
      </w:r>
    </w:p>
    <w:p w14:paraId="243B1FAE" w14:textId="77777777" w:rsidR="00D36779" w:rsidRPr="00D36779" w:rsidRDefault="00D36779" w:rsidP="00D36779">
      <w:pPr>
        <w:numPr>
          <w:ilvl w:val="1"/>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UK Export Control qualifications</w:t>
      </w:r>
    </w:p>
    <w:p w14:paraId="0B3B0B1D" w14:textId="77777777" w:rsidR="00D36779" w:rsidRPr="00D36779" w:rsidRDefault="00D36779" w:rsidP="00D36779">
      <w:pPr>
        <w:numPr>
          <w:ilvl w:val="1"/>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Customs or trade compliance certifications (e.g. ACSS, CIPS, ICC)</w:t>
      </w:r>
    </w:p>
    <w:p w14:paraId="73261426" w14:textId="77777777" w:rsidR="00D36779" w:rsidRPr="00D36779" w:rsidRDefault="00D36779" w:rsidP="00D36779">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Ongoing professional development in international trade regulation.</w:t>
      </w:r>
    </w:p>
    <w:p w14:paraId="16DFF3FD" w14:textId="77777777" w:rsidR="00D36779" w:rsidRPr="00D36779" w:rsidRDefault="00D36779" w:rsidP="00D36779">
      <w:pPr>
        <w:spacing w:after="0"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pict w14:anchorId="05FD5357">
          <v:rect id="_x0000_i1029" style="width:0;height:1.5pt" o:hralign="center" o:hrstd="t" o:hr="t" fillcolor="#a0a0a0" stroked="f"/>
        </w:pict>
      </w:r>
    </w:p>
    <w:p w14:paraId="289FDFE4" w14:textId="77777777" w:rsidR="00D36779" w:rsidRPr="00D36779" w:rsidRDefault="00D36779" w:rsidP="00D36779">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36779">
        <w:rPr>
          <w:rFonts w:ascii="Segoe UI" w:eastAsia="Times New Roman" w:hAnsi="Segoe UI" w:cs="Segoe UI"/>
          <w:b/>
          <w:bCs/>
          <w:kern w:val="0"/>
          <w:sz w:val="27"/>
          <w:szCs w:val="27"/>
          <w:lang w:eastAsia="en-GB"/>
          <w14:ligatures w14:val="none"/>
        </w:rPr>
        <w:t>Key Measures of Success</w:t>
      </w:r>
    </w:p>
    <w:p w14:paraId="185D0366" w14:textId="77777777" w:rsidR="00D36779" w:rsidRPr="00D36779" w:rsidRDefault="00D36779" w:rsidP="00D36779">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Effective management and reduction of trade compliance risk.</w:t>
      </w:r>
    </w:p>
    <w:p w14:paraId="4358242A" w14:textId="77777777" w:rsidR="00D36779" w:rsidRPr="00D36779" w:rsidRDefault="00D36779" w:rsidP="00D36779">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Positive outcomes from audits and regulatory engagements.</w:t>
      </w:r>
    </w:p>
    <w:p w14:paraId="27703D5F" w14:textId="77777777" w:rsidR="00D36779" w:rsidRPr="00D36779" w:rsidRDefault="00D36779" w:rsidP="00D36779">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Integration of compliance into business processes without unnecessary disruption.</w:t>
      </w:r>
    </w:p>
    <w:p w14:paraId="17EF1E63" w14:textId="77777777" w:rsidR="00D36779" w:rsidRPr="00D36779" w:rsidRDefault="00D36779" w:rsidP="00D36779">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Capability, engagement, and performance of the trade compliance team.</w:t>
      </w:r>
    </w:p>
    <w:p w14:paraId="4B6D6A45" w14:textId="77777777" w:rsidR="00D36779" w:rsidRPr="00D36779" w:rsidRDefault="00D36779" w:rsidP="00D36779">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36779">
        <w:rPr>
          <w:rFonts w:ascii="Segoe UI" w:eastAsia="Times New Roman" w:hAnsi="Segoe UI" w:cs="Segoe UI"/>
          <w:kern w:val="0"/>
          <w:sz w:val="21"/>
          <w:szCs w:val="21"/>
          <w:lang w:eastAsia="en-GB"/>
          <w14:ligatures w14:val="none"/>
        </w:rPr>
        <w:t>Strong compliance culture across the organisation.</w:t>
      </w:r>
    </w:p>
    <w:p w14:paraId="2DFFA21E" w14:textId="77777777" w:rsidR="00312E74" w:rsidRDefault="00312E74"/>
    <w:sectPr w:rsidR="00312E7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49570" w14:textId="77777777" w:rsidR="00D36779" w:rsidRDefault="00D36779" w:rsidP="00D36779">
      <w:pPr>
        <w:spacing w:after="0" w:line="240" w:lineRule="auto"/>
      </w:pPr>
      <w:r>
        <w:separator/>
      </w:r>
    </w:p>
  </w:endnote>
  <w:endnote w:type="continuationSeparator" w:id="0">
    <w:p w14:paraId="41ECE813" w14:textId="77777777" w:rsidR="00D36779" w:rsidRDefault="00D36779" w:rsidP="00D36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4A24" w14:textId="5375906B" w:rsidR="00D36779" w:rsidRDefault="00D36779">
    <w:pPr>
      <w:pStyle w:val="Footer"/>
    </w:pPr>
    <w:r>
      <w:rPr>
        <w:noProof/>
      </w:rPr>
      <mc:AlternateContent>
        <mc:Choice Requires="wps">
          <w:drawing>
            <wp:anchor distT="0" distB="0" distL="0" distR="0" simplePos="0" relativeHeight="251662336" behindDoc="0" locked="0" layoutInCell="1" allowOverlap="1" wp14:anchorId="60323974" wp14:editId="1949BB08">
              <wp:simplePos x="635" y="635"/>
              <wp:positionH relativeFrom="page">
                <wp:align>center</wp:align>
              </wp:positionH>
              <wp:positionV relativeFrom="page">
                <wp:align>bottom</wp:align>
              </wp:positionV>
              <wp:extent cx="1736725" cy="370205"/>
              <wp:effectExtent l="0" t="0" r="15875" b="0"/>
              <wp:wrapNone/>
              <wp:docPr id="1619686257" name="Text Box 5" descr="COMMERCIAL IN 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6725" cy="370205"/>
                      </a:xfrm>
                      <a:prstGeom prst="rect">
                        <a:avLst/>
                      </a:prstGeom>
                      <a:noFill/>
                      <a:ln>
                        <a:noFill/>
                      </a:ln>
                    </wps:spPr>
                    <wps:txbx>
                      <w:txbxContent>
                        <w:p w14:paraId="6B9C9B67" w14:textId="7202BD7E"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323974" id="_x0000_t202" coordsize="21600,21600" o:spt="202" path="m,l,21600r21600,l21600,xe">
              <v:stroke joinstyle="miter"/>
              <v:path gradientshapeok="t" o:connecttype="rect"/>
            </v:shapetype>
            <v:shape id="Text Box 5" o:spid="_x0000_s1028" type="#_x0000_t202" alt="COMMERCIAL IN CONFIDENCE" style="position:absolute;margin-left:0;margin-top:0;width:136.7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1MYDwIAAB0EAAAOAAAAZHJzL2Uyb0RvYy54bWysU8Fu2zAMvQ/YPwi6L3bSpdmMOEXWIsOA&#10;oC2QDj3LshQbkERBUmJnXz9KjpOt22nYRaZJ6pF8fFre9VqRo3C+BVPS6SSnRBgOdWv2Jf3+svnw&#10;iRIfmKmZAiNKehKe3q3ev1t2thAzaEDVwhEEMb7obEmbEGyRZZ43QjM/ASsMBiU4zQL+un1WO9Yh&#10;ulbZLM9vsw5cbR1w4T16H4YgXSV8KQUPT1J6EYgqKfYW0unSWcUzWy1ZsXfMNi0/t8H+oQvNWoNF&#10;L1APLDBycO0fULrlDjzIMOGgM5Cy5SLNgNNM8zfT7BpmRZoFyfH2QpP/f7D88bizz46E/gv0uMBI&#10;SGd94dEZ5+ml0/GLnRKMI4WnC22iD4THS4ub28VsTgnH2M0in+XzCJNdb1vnw1cBmkSjpA7Xkthi&#10;x60PQ+qYEosZ2LRKpdUo85sDMaMnu7YYrdBXPWnrkn4c26+gPuFUDoaFe8s3LZbeMh+emcMN4yCo&#10;2vCEh1TQlRTOFiUNuB9/88d8JB6jlHSomJIalDQl6pvBhURxjYYbjSoZ08/5PMe4Oeh7QB1O8UlY&#10;nkz0uqBGUzrQr6jndSyEIWY4litpNZr3YZAuvgcu1uuUhDqyLGzNzvIIHemKXL70r8zZM+EBV/UI&#10;o5xY8Yb3ITfe9HZ9CMh+WkqkdiDyzDhqMK31/F6iyH/9T1nXV736CQAA//8DAFBLAwQUAAYACAAA&#10;ACEAV6z8G9sAAAAEAQAADwAAAGRycy9kb3ducmV2LnhtbEyPwWrCQBCG7wXfYRmht7oxwVbSbKQI&#10;PVkKai+9rbtjkpqdDdmNxrfv6KW9DAz/zzffFKvRteKMfWg8KZjPEhBIxtuGKgVf+/enJYgQNVnd&#10;ekIFVwywKicPhc6tv9AWz7tYCYZQyLWCOsYulzKYGp0OM98hcXb0vdOR176SttcXhrtWpknyLJ1u&#10;iC/UusN1jea0G5yCxTZ+DJ+0z77H9Pqz6dYmO26MUo/T8e0VRMQx/pXhps/qULLTwQ9kg2gV8CPx&#10;PjlLX7IFiAODlxnIspD/5ctfAAAA//8DAFBLAQItABQABgAIAAAAIQC2gziS/gAAAOEBAAATAAAA&#10;AAAAAAAAAAAAAAAAAABbQ29udGVudF9UeXBlc10ueG1sUEsBAi0AFAAGAAgAAAAhADj9If/WAAAA&#10;lAEAAAsAAAAAAAAAAAAAAAAALwEAAF9yZWxzLy5yZWxzUEsBAi0AFAAGAAgAAAAhAJovUxgPAgAA&#10;HQQAAA4AAAAAAAAAAAAAAAAALgIAAGRycy9lMm9Eb2MueG1sUEsBAi0AFAAGAAgAAAAhAFes/Bvb&#10;AAAABAEAAA8AAAAAAAAAAAAAAAAAaQQAAGRycy9kb3ducmV2LnhtbFBLBQYAAAAABAAEAPMAAABx&#10;BQAAAAA=&#10;" filled="f" stroked="f">
              <v:fill o:detectmouseclick="t"/>
              <v:textbox style="mso-fit-shape-to-text:t" inset="0,0,0,15pt">
                <w:txbxContent>
                  <w:p w14:paraId="6B9C9B67" w14:textId="7202BD7E"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8E26" w14:textId="4EEB5A83" w:rsidR="00D36779" w:rsidRDefault="00D36779">
    <w:pPr>
      <w:pStyle w:val="Footer"/>
    </w:pPr>
    <w:r>
      <w:rPr>
        <w:noProof/>
      </w:rPr>
      <mc:AlternateContent>
        <mc:Choice Requires="wps">
          <w:drawing>
            <wp:anchor distT="0" distB="0" distL="0" distR="0" simplePos="0" relativeHeight="251663360" behindDoc="0" locked="0" layoutInCell="1" allowOverlap="1" wp14:anchorId="35FC4243" wp14:editId="10960E9C">
              <wp:simplePos x="914400" y="10058400"/>
              <wp:positionH relativeFrom="page">
                <wp:align>center</wp:align>
              </wp:positionH>
              <wp:positionV relativeFrom="page">
                <wp:align>bottom</wp:align>
              </wp:positionV>
              <wp:extent cx="1736725" cy="370205"/>
              <wp:effectExtent l="0" t="0" r="15875" b="0"/>
              <wp:wrapNone/>
              <wp:docPr id="216294562" name="Text Box 6" descr="COMMERCIAL IN 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6725" cy="370205"/>
                      </a:xfrm>
                      <a:prstGeom prst="rect">
                        <a:avLst/>
                      </a:prstGeom>
                      <a:noFill/>
                      <a:ln>
                        <a:noFill/>
                      </a:ln>
                    </wps:spPr>
                    <wps:txbx>
                      <w:txbxContent>
                        <w:p w14:paraId="1621271F" w14:textId="10E68816"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FC4243" id="_x0000_t202" coordsize="21600,21600" o:spt="202" path="m,l,21600r21600,l21600,xe">
              <v:stroke joinstyle="miter"/>
              <v:path gradientshapeok="t" o:connecttype="rect"/>
            </v:shapetype>
            <v:shape id="Text Box 6" o:spid="_x0000_s1029" type="#_x0000_t202" alt="COMMERCIAL IN CONFIDENCE" style="position:absolute;margin-left:0;margin-top:0;width:136.75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OElDQIAAB0EAAAOAAAAZHJzL2Uyb0RvYy54bWysU8Fu2zAMvQ/YPwi6L3ZSpFmNOEXWIsOA&#10;oC2QDj0rshwbkESBUmJnXz9KiZOt22nYRaZJ6pF8fJrf90azg0Lfgi35eJRzpqyEqrW7kn9/XX36&#10;zJkPwlZCg1UlPyrP7xcfP8w7V6gJNKArhYxArC86V/ImBFdkmZeNMsKPwClLwRrQiEC/uMsqFB2h&#10;G51N8vw26wArhyCV9+R9PAX5IuHXtZLhua69CkyXnHoL6cR0buOZLeai2KFwTSvPbYh/6MKI1lLR&#10;C9SjCILtsf0DyrQSwUMdRhJMBnXdSpVmoGnG+btpNo1wKs1C5Hh3ocn/P1j5dNi4F2Sh/wI9LTAS&#10;0jlfeHLGefoaTfxSp4ziROHxQpvqA5Px0uzmdjaZciYpdjPLJ/k0wmTX2w59+KrAsGiUHGktiS1x&#10;WPtwSh1SYjELq1brtBptf3MQZvRk1xajFfptz9qq5Klu9GyhOtJUCKeFeydXLZVeCx9eBNKGaRBS&#10;bXimo9bQlRzOFmcN4I+/+WM+EU9RzjpSTMktSZoz/c3SQqK4BgMHY5uM8V0+zSlu9+YBSIdjehJO&#10;JpO8GPRg1gjmjfS8jIUoJKykciXfDuZDOEmX3oNUy2VKIh05EdZ242SEjnRFLl/7N4HuTHigVT3B&#10;ICdRvOP9lBtverfcB2I/LeVK5Jlx0mBa6/m9RJH/+p+yrq968RMAAP//AwBQSwMEFAAGAAgAAAAh&#10;AFes/BvbAAAABAEAAA8AAABkcnMvZG93bnJldi54bWxMj8FqwkAQhu8F32EZobe6McFW0mykCD1Z&#10;Cmovva27Y5KanQ3Zjca37+ilvQwM/8833xSr0bXijH1oPCmYzxIQSMbbhioFX/v3pyWIEDVZ3XpC&#10;BVcMsConD4XOrb/QFs+7WAmGUMi1gjrGLpcymBqdDjPfIXF29L3Tkde+krbXF4a7VqZJ8iydbogv&#10;1LrDdY3mtBucgsU2fgyftM++x/T6s+nWJjtujFKP0/HtFUTEMf6V4abP6lCy08EPZINoFfAj8T45&#10;S1+yBYgDg5cZyLKQ/+XLXwAAAP//AwBQSwECLQAUAAYACAAAACEAtoM4kv4AAADhAQAAEwAAAAAA&#10;AAAAAAAAAAAAAAAAW0NvbnRlbnRfVHlwZXNdLnhtbFBLAQItABQABgAIAAAAIQA4/SH/1gAAAJQB&#10;AAALAAAAAAAAAAAAAAAAAC8BAABfcmVscy8ucmVsc1BLAQItABQABgAIAAAAIQD3kOElDQIAAB0E&#10;AAAOAAAAAAAAAAAAAAAAAC4CAABkcnMvZTJvRG9jLnhtbFBLAQItABQABgAIAAAAIQBXrPwb2wAA&#10;AAQBAAAPAAAAAAAAAAAAAAAAAGcEAABkcnMvZG93bnJldi54bWxQSwUGAAAAAAQABADzAAAAbwUA&#10;AAAA&#10;" filled="f" stroked="f">
              <v:fill o:detectmouseclick="t"/>
              <v:textbox style="mso-fit-shape-to-text:t" inset="0,0,0,15pt">
                <w:txbxContent>
                  <w:p w14:paraId="1621271F" w14:textId="10E68816"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BBCD" w14:textId="62AEADDD" w:rsidR="00D36779" w:rsidRDefault="00D36779">
    <w:pPr>
      <w:pStyle w:val="Footer"/>
    </w:pPr>
    <w:r>
      <w:rPr>
        <w:noProof/>
      </w:rPr>
      <mc:AlternateContent>
        <mc:Choice Requires="wps">
          <w:drawing>
            <wp:anchor distT="0" distB="0" distL="0" distR="0" simplePos="0" relativeHeight="251661312" behindDoc="0" locked="0" layoutInCell="1" allowOverlap="1" wp14:anchorId="6250F46A" wp14:editId="10C332DC">
              <wp:simplePos x="635" y="635"/>
              <wp:positionH relativeFrom="page">
                <wp:align>center</wp:align>
              </wp:positionH>
              <wp:positionV relativeFrom="page">
                <wp:align>bottom</wp:align>
              </wp:positionV>
              <wp:extent cx="1736725" cy="370205"/>
              <wp:effectExtent l="0" t="0" r="15875" b="0"/>
              <wp:wrapNone/>
              <wp:docPr id="1072690176" name="Text Box 4" descr="COMMERCIAL IN 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6725" cy="370205"/>
                      </a:xfrm>
                      <a:prstGeom prst="rect">
                        <a:avLst/>
                      </a:prstGeom>
                      <a:noFill/>
                      <a:ln>
                        <a:noFill/>
                      </a:ln>
                    </wps:spPr>
                    <wps:txbx>
                      <w:txbxContent>
                        <w:p w14:paraId="53E9E0BA" w14:textId="4E5F289F"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50F46A" id="_x0000_t202" coordsize="21600,21600" o:spt="202" path="m,l,21600r21600,l21600,xe">
              <v:stroke joinstyle="miter"/>
              <v:path gradientshapeok="t" o:connecttype="rect"/>
            </v:shapetype>
            <v:shape id="Text Box 4" o:spid="_x0000_s1031" type="#_x0000_t202" alt="COMMERCIAL IN CONFIDENCE" style="position:absolute;margin-left:0;margin-top:0;width:136.75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06oDgIAAB0EAAAOAAAAZHJzL2Uyb0RvYy54bWysU8Fu2zAMvQ/YPwi6L3ZSpFmNOEXWIsOA&#10;oC2QDj0rshQbkERBUmJnXz9KtpOt22nYRaZJ6pF8fFred1qRk3C+AVPS6SSnRBgOVWMOJf3+uvn0&#10;mRIfmKmYAiNKehae3q8+fli2thAzqEFVwhEEMb5obUnrEGyRZZ7XQjM/ASsMBiU4zQL+ukNWOdYi&#10;ulbZLM9vsxZcZR1w4T16H/sgXSV8KQUPz1J6EYgqKfYW0unSuY9ntlqy4uCYrRs+tMH+oQvNGoNF&#10;L1CPLDBydM0fULrhDjzIMOGgM5Cy4SLNgNNM83fT7GpmRZoFyfH2QpP/f7D86bSzL46E7gt0uMBI&#10;SGt94dEZ5+mk0/GLnRKMI4XnC22iC4THS4ub28VsTgnH2M0in+XzCJNdb1vnw1cBmkSjpA7Xkthi&#10;p60PfeqYEosZ2DRKpdUo85sDMaMnu7YYrdDtO9JUWHxsfw/VGady0C/cW75psPSW+fDCHG4YB0HV&#10;hmc8pIK2pDBYlNTgfvzNH/OReIxS0qJiSmpQ0pSobwYXEsU1Gm409smY3uXzHOPmqB8AdTjFJ2F5&#10;MtHrghpN6UC/oZ7XsRCGmOFYrqT70XwIvXTxPXCxXqck1JFlYWt2lkfoSFfk8rV7Y84OhAdc1ROM&#10;cmLFO9773HjT2/UxIPtpKZHansiBcdRgWuvwXqLIf/1PWddXvfoJAAD//wMAUEsDBBQABgAIAAAA&#10;IQBXrPwb2wAAAAQBAAAPAAAAZHJzL2Rvd25yZXYueG1sTI/BasJAEIbvBd9hGaG3ujHBVtJspAg9&#10;WQpqL72tu2OSmp0N2Y3Gt+/opb0MDP/PN98Uq9G14ox9aDwpmM8SEEjG24YqBV/796cliBA1Wd16&#10;QgVXDLAqJw+Fzq2/0BbPu1gJhlDItYI6xi6XMpganQ4z3yFxdvS905HXvpK21xeGu1amSfIsnW6I&#10;L9S6w3WN5rQbnILFNn4Mn7TPvsf0+rPp1iY7boxSj9Px7RVExDH+leGmz+pQstPBD2SDaBXwI/E+&#10;OUtfsgWIA4OXGciykP/ly18AAAD//wMAUEsBAi0AFAAGAAgAAAAhALaDOJL+AAAA4QEAABMAAAAA&#10;AAAAAAAAAAAAAAAAAFtDb250ZW50X1R5cGVzXS54bWxQSwECLQAUAAYACAAAACEAOP0h/9YAAACU&#10;AQAACwAAAAAAAAAAAAAAAAAvAQAAX3JlbHMvLnJlbHNQSwECLQAUAAYACAAAACEAmRNOqA4CAAAd&#10;BAAADgAAAAAAAAAAAAAAAAAuAgAAZHJzL2Uyb0RvYy54bWxQSwECLQAUAAYACAAAACEAV6z8G9sA&#10;AAAEAQAADwAAAAAAAAAAAAAAAABoBAAAZHJzL2Rvd25yZXYueG1sUEsFBgAAAAAEAAQA8wAAAHAF&#10;AAAAAA==&#10;" filled="f" stroked="f">
              <v:fill o:detectmouseclick="t"/>
              <v:textbox style="mso-fit-shape-to-text:t" inset="0,0,0,15pt">
                <w:txbxContent>
                  <w:p w14:paraId="53E9E0BA" w14:textId="4E5F289F"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ADCD" w14:textId="77777777" w:rsidR="00D36779" w:rsidRDefault="00D36779" w:rsidP="00D36779">
      <w:pPr>
        <w:spacing w:after="0" w:line="240" w:lineRule="auto"/>
      </w:pPr>
      <w:r>
        <w:separator/>
      </w:r>
    </w:p>
  </w:footnote>
  <w:footnote w:type="continuationSeparator" w:id="0">
    <w:p w14:paraId="53CA9F93" w14:textId="77777777" w:rsidR="00D36779" w:rsidRDefault="00D36779" w:rsidP="00D36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5567" w14:textId="2A4E74F0" w:rsidR="00D36779" w:rsidRDefault="00D36779">
    <w:pPr>
      <w:pStyle w:val="Header"/>
    </w:pPr>
    <w:r>
      <w:rPr>
        <w:noProof/>
      </w:rPr>
      <mc:AlternateContent>
        <mc:Choice Requires="wps">
          <w:drawing>
            <wp:anchor distT="0" distB="0" distL="0" distR="0" simplePos="0" relativeHeight="251659264" behindDoc="0" locked="0" layoutInCell="1" allowOverlap="1" wp14:anchorId="1EE8D58F" wp14:editId="57AF6947">
              <wp:simplePos x="635" y="635"/>
              <wp:positionH relativeFrom="page">
                <wp:align>center</wp:align>
              </wp:positionH>
              <wp:positionV relativeFrom="page">
                <wp:align>top</wp:align>
              </wp:positionV>
              <wp:extent cx="1736725" cy="370205"/>
              <wp:effectExtent l="0" t="0" r="15875" b="10795"/>
              <wp:wrapNone/>
              <wp:docPr id="733278201" name="Text Box 2"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6725" cy="370205"/>
                      </a:xfrm>
                      <a:prstGeom prst="rect">
                        <a:avLst/>
                      </a:prstGeom>
                      <a:noFill/>
                      <a:ln>
                        <a:noFill/>
                      </a:ln>
                    </wps:spPr>
                    <wps:txbx>
                      <w:txbxContent>
                        <w:p w14:paraId="4FB8E793" w14:textId="0398D370"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E8D58F" id="_x0000_t202" coordsize="21600,21600" o:spt="202" path="m,l,21600r21600,l21600,xe">
              <v:stroke joinstyle="miter"/>
              <v:path gradientshapeok="t" o:connecttype="rect"/>
            </v:shapetype>
            <v:shape id="Text Box 2" o:spid="_x0000_s1026" type="#_x0000_t202" alt="COMMERCIAL IN CONFIDENCE" style="position:absolute;margin-left:0;margin-top:0;width:136.7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npnDQIAAB0EAAAOAAAAZHJzL2Uyb0RvYy54bWysU8Fu2zAMvQ/YPwi6L3ZSpNmMOEXWIsOA&#10;oC2QDj0rshQbkERBUmJnXz9KtpOu22nYRaZJ6pF8fFredVqRk3C+AVPS6SSnRBgOVWMOJf3xsvn0&#10;mRIfmKmYAiNKehae3q0+fli2thAzqEFVwhEEMb5obUnrEGyRZZ7XQjM/ASsMBiU4zQL+ukNWOdYi&#10;ulbZLM9vsxZcZR1w4T16H/ogXSV8KQUPT1J6EYgqKfYW0unSuY9ntlqy4uCYrRs+tMH+oQvNGoNF&#10;L1APLDBydM0fULrhDjzIMOGgM5Cy4SLNgNNM83fT7GpmRZoFyfH2QpP/f7D88bSzz46E7it0uMBI&#10;SGt94dEZ5+mk0/GLnRKMI4XnC22iC4THS4ub28VsTgnH2M0in+XzCJNdb1vnwzcBmkSjpA7Xkthi&#10;p60PfeqYEosZ2DRKpdUo85sDMaMnu7YYrdDtO9JUb9rfQ3XGqRz0C/eWbxosvWU+PDOHG8ZBULXh&#10;CQ+poC0pDBYlNbiff/PHfCQeo5S0qJiSGpQ0Jeq7wYVEcSVj+iWf5/jnRvd+NMxR3wPqcIpPwvJk&#10;xrygRlM60K+o53UshCFmOJYraRjN+9BLF98DF+t1SkIdWRa2Zmd5hI50RS5fulfm7EB4wFU9wign&#10;Vrzjvc+NN71dHwOyn5YSqe2JHBhHDaa1Du8livztf8q6vurVLwAAAP//AwBQSwMEFAAGAAgAAAAh&#10;AGbDQCLbAAAABAEAAA8AAABkcnMvZG93bnJldi54bWxMj0FPwkAQhe8m/ofNmHiTbSFVUrslxIQD&#10;N0T0PHSHttidbboLVH69oxe9TPLyXt77pliMrlNnGkLr2UA6SUARV962XBvYva0e5qBCRLbYeSYD&#10;XxRgUd7eFJhbf+FXOm9jraSEQ44Gmhj7XOtQNeQwTHxPLN7BDw6jyKHWdsCLlLtOT5PkUTtsWRYa&#10;7Omloepze3IG2mzpY0rv69Xxw6U+vW7W2XVjzP3duHwGFWmMf2H4wRd0KIVp709sg+oMyCPx94o3&#10;fZploPYGsvkMdFno//DlNwAAAP//AwBQSwECLQAUAAYACAAAACEAtoM4kv4AAADhAQAAEwAAAAAA&#10;AAAAAAAAAAAAAAAAW0NvbnRlbnRfVHlwZXNdLnhtbFBLAQItABQABgAIAAAAIQA4/SH/1gAAAJQB&#10;AAALAAAAAAAAAAAAAAAAAC8BAABfcmVscy8ucmVsc1BLAQItABQABgAIAAAAIQDdqnpnDQIAAB0E&#10;AAAOAAAAAAAAAAAAAAAAAC4CAABkcnMvZTJvRG9jLnhtbFBLAQItABQABgAIAAAAIQBmw0Ai2wAA&#10;AAQBAAAPAAAAAAAAAAAAAAAAAGcEAABkcnMvZG93bnJldi54bWxQSwUGAAAAAAQABADzAAAAbwUA&#10;AAAA&#10;" filled="f" stroked="f">
              <v:fill o:detectmouseclick="t"/>
              <v:textbox style="mso-fit-shape-to-text:t" inset="0,15pt,0,0">
                <w:txbxContent>
                  <w:p w14:paraId="4FB8E793" w14:textId="0398D370"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3B40" w14:textId="206887CB" w:rsidR="00D36779" w:rsidRDefault="00D36779">
    <w:pPr>
      <w:pStyle w:val="Header"/>
    </w:pPr>
    <w:r>
      <w:rPr>
        <w:noProof/>
      </w:rPr>
      <mc:AlternateContent>
        <mc:Choice Requires="wps">
          <w:drawing>
            <wp:anchor distT="0" distB="0" distL="0" distR="0" simplePos="0" relativeHeight="251660288" behindDoc="0" locked="0" layoutInCell="1" allowOverlap="1" wp14:anchorId="652E2D11" wp14:editId="511DED73">
              <wp:simplePos x="914400" y="447675"/>
              <wp:positionH relativeFrom="page">
                <wp:align>center</wp:align>
              </wp:positionH>
              <wp:positionV relativeFrom="page">
                <wp:align>top</wp:align>
              </wp:positionV>
              <wp:extent cx="1736725" cy="370205"/>
              <wp:effectExtent l="0" t="0" r="15875" b="10795"/>
              <wp:wrapNone/>
              <wp:docPr id="1880383059" name="Text Box 3"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6725" cy="370205"/>
                      </a:xfrm>
                      <a:prstGeom prst="rect">
                        <a:avLst/>
                      </a:prstGeom>
                      <a:noFill/>
                      <a:ln>
                        <a:noFill/>
                      </a:ln>
                    </wps:spPr>
                    <wps:txbx>
                      <w:txbxContent>
                        <w:p w14:paraId="575F7E6B" w14:textId="0581AE42"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2E2D11" id="_x0000_t202" coordsize="21600,21600" o:spt="202" path="m,l,21600r21600,l21600,xe">
              <v:stroke joinstyle="miter"/>
              <v:path gradientshapeok="t" o:connecttype="rect"/>
            </v:shapetype>
            <v:shape id="Text Box 3" o:spid="_x0000_s1027" type="#_x0000_t202" alt="COMMERCIAL IN CONFIDENCE" style="position:absolute;margin-left:0;margin-top:0;width:136.7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60hDwIAAB0EAAAOAAAAZHJzL2Uyb0RvYy54bWysU8Fu2zAMvQ/YPwi6L3ZSpFmNOEXWIsOA&#10;oC2QDj0rshQbkERBUmJnXz9KtpOt22nYRaZJ6pF8fFred1qRk3C+AVPS6SSnRBgOVWMOJf3+uvn0&#10;mRIfmKmYAiNKehae3q8+fli2thAzqEFVwhEEMb5obUnrEGyRZZ7XQjM/ASsMBiU4zQL+ukNWOdYi&#10;ulbZLM9vsxZcZR1w4T16H/sgXSV8KQUPz1J6EYgqKfYW0unSuY9ntlqy4uCYrRs+tMH+oQvNGoNF&#10;L1CPLDBydM0fULrhDjzIMOGgM5Cy4SLNgNNM83fT7GpmRZoFyfH2QpP/f7D86bSzL46E7gt0uMBI&#10;SGt94dEZ5+mk0/GLnRKMI4XnC22iC4THS4ub28VsTgnH2M0in+XzCJNdb1vnw1cBmkSjpA7Xkthi&#10;p60PfeqYEosZ2DRKpdUo85sDMaMnu7YYrdDtO9JUJZ2N7e+hOuNUDvqFe8s3DZbeMh9emMMN4yCo&#10;2vCMh1TQlhQGi5Ia3I+/+WM+Eo9RSlpUTEkNSpoS9c3gQqK4kjG9y+c5/rnRvR8Nc9QPgDqc4pOw&#10;PJkxL6jRlA70G+p5HQthiBmO5UoaRvMh9NLF98DFep2SUEeWha3ZWR6hI12Ry9fujTk7EB5wVU8w&#10;yokV73jvc+NNb9fHgOynpURqeyIHxlGDaa3De4ki//U/ZV1f9eonAAAA//8DAFBLAwQUAAYACAAA&#10;ACEAZsNAItsAAAAEAQAADwAAAGRycy9kb3ducmV2LnhtbEyPQU/CQBCF7yb+h82YeJNtIVVSuyXE&#10;hAM3RPQ8dIe22J1tugtUfr2jF71M8vJe3vumWIyuU2caQuvZQDpJQBFX3rZcG9i9rR7moEJEtth5&#10;JgNfFGBR3t4UmFt/4Vc6b2OtpIRDjgaaGPtc61A15DBMfE8s3sEPDqPIodZ2wIuUu05Pk+RRO2xZ&#10;Fhrs6aWh6nN7cgbabOljSu/r1fHDpT69btbZdWPM/d24fAYVaYx/YfjBF3QohWnvT2yD6gzII/H3&#10;ijd9mmWg9gay+Qx0Wej/8OU3AAAA//8DAFBLAQItABQABgAIAAAAIQC2gziS/gAAAOEBAAATAAAA&#10;AAAAAAAAAAAAAAAAAABbQ29udGVudF9UeXBlc10ueG1sUEsBAi0AFAAGAAgAAAAhADj9If/WAAAA&#10;lAEAAAsAAAAAAAAAAAAAAAAALwEAAF9yZWxzLy5yZWxzUEsBAi0AFAAGAAgAAAAhAGprrSEPAgAA&#10;HQQAAA4AAAAAAAAAAAAAAAAALgIAAGRycy9lMm9Eb2MueG1sUEsBAi0AFAAGAAgAAAAhAGbDQCLb&#10;AAAABAEAAA8AAAAAAAAAAAAAAAAAaQQAAGRycy9kb3ducmV2LnhtbFBLBQYAAAAABAAEAPMAAABx&#10;BQAAAAA=&#10;" filled="f" stroked="f">
              <v:fill o:detectmouseclick="t"/>
              <v:textbox style="mso-fit-shape-to-text:t" inset="0,15pt,0,0">
                <w:txbxContent>
                  <w:p w14:paraId="575F7E6B" w14:textId="0581AE42"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C5AE" w14:textId="0F577C00" w:rsidR="00D36779" w:rsidRDefault="00D36779">
    <w:pPr>
      <w:pStyle w:val="Header"/>
    </w:pPr>
    <w:r>
      <w:rPr>
        <w:noProof/>
      </w:rPr>
      <mc:AlternateContent>
        <mc:Choice Requires="wps">
          <w:drawing>
            <wp:anchor distT="0" distB="0" distL="0" distR="0" simplePos="0" relativeHeight="251658240" behindDoc="0" locked="0" layoutInCell="1" allowOverlap="1" wp14:anchorId="2A3CBA02" wp14:editId="1220002C">
              <wp:simplePos x="635" y="635"/>
              <wp:positionH relativeFrom="page">
                <wp:align>center</wp:align>
              </wp:positionH>
              <wp:positionV relativeFrom="page">
                <wp:align>top</wp:align>
              </wp:positionV>
              <wp:extent cx="1736725" cy="370205"/>
              <wp:effectExtent l="0" t="0" r="15875" b="10795"/>
              <wp:wrapNone/>
              <wp:docPr id="453367840" name="Text Box 1"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6725" cy="370205"/>
                      </a:xfrm>
                      <a:prstGeom prst="rect">
                        <a:avLst/>
                      </a:prstGeom>
                      <a:noFill/>
                      <a:ln>
                        <a:noFill/>
                      </a:ln>
                    </wps:spPr>
                    <wps:txbx>
                      <w:txbxContent>
                        <w:p w14:paraId="37BF6A2F" w14:textId="45594D5D"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3CBA02" id="_x0000_t202" coordsize="21600,21600" o:spt="202" path="m,l,21600r21600,l21600,xe">
              <v:stroke joinstyle="miter"/>
              <v:path gradientshapeok="t" o:connecttype="rect"/>
            </v:shapetype>
            <v:shape id="Text Box 1" o:spid="_x0000_s1030" type="#_x0000_t202" alt="COMMERCIAL IN CONFIDENCE" style="position:absolute;margin-left:0;margin-top:0;width:136.7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TCgIAABYEAAAOAAAAZHJzL2Uyb0RvYy54bWysU8Fu2zAMvQ/YPwi6L3ZSpFmNOEXWIsOA&#10;oC2QDj0rshQbkERBUmJnXz9KtpOt22nYRaZJ6pF8fFred1qRk3C+AVPS6SSnRBgOVWMOJf3+uvn0&#10;mRIfmKmYAiNKehae3q8+fli2thAzqEFVwhEEMb5obUnrEGyRZZ7XQjM/ASsMBiU4zQL+ukNWOdYi&#10;ulbZLM9vsxZcZR1w4T16H/sgXSV8KQUPz1J6EYgqKfYW0unSuY9ntlqy4uCYrRs+tMH+oQvNGoNF&#10;L1CPLDBydM0fULrhDjzIMOGgM5Cy4SLNgNNM83fT7GpmRZoFyfH2QpP/f7D86bSzL46E7gt0uMBI&#10;SGt94dEZ5+mk0/GLnRKMI4XnC22iC4THS4ub28VsTgnH2M0in+XzCJNdb1vnw1cBmkSjpA7Xkthi&#10;p60PfeqYEosZ2DRKpdUo85sDMaMnu7YYrdDtu6HvPVRnHMdBv2lv+abBmlvmwwtzuFqcAOUanvGQ&#10;CtqSwmBRUoP78Td/zEfGMUpJi1IpqUEtU6K+GdxEVFUypnf5PMc/N7r3o2GO+gFQgFN8C5YnM+YF&#10;NZrSgX5DIa9jIQwxw7FcScNoPoRes/gQuFivUxIKyLKwNTvLI3TkKZL42r0xZwemA+7oCUYdseId&#10;4X1uvOnt+hiQ9rSNyGlP5EA1ii/tc3goUd2//qes63Ne/QQAAP//AwBQSwMEFAAGAAgAAAAhAGbD&#10;QCLbAAAABAEAAA8AAABkcnMvZG93bnJldi54bWxMj0FPwkAQhe8m/ofNmHiTbSFVUrslxIQDN0T0&#10;PHSHttidbboLVH69oxe9TPLyXt77pliMrlNnGkLr2UA6SUARV962XBvYva0e5qBCRLbYeSYDXxRg&#10;Ud7eFJhbf+FXOm9jraSEQ44Gmhj7XOtQNeQwTHxPLN7BDw6jyKHWdsCLlLtOT5PkUTtsWRYa7Oml&#10;oepze3IG2mzpY0rv69Xxw6U+vW7W2XVjzP3duHwGFWmMf2H4wRd0KIVp709sg+oMyCPx94o3fZpl&#10;oPYGsvkMdFno//DlNwAAAP//AwBQSwECLQAUAAYACAAAACEAtoM4kv4AAADhAQAAEwAAAAAAAAAA&#10;AAAAAAAAAAAAW0NvbnRlbnRfVHlwZXNdLnhtbFBLAQItABQABgAIAAAAIQA4/SH/1gAAAJQBAAAL&#10;AAAAAAAAAAAAAAAAAC8BAABfcmVscy8ucmVsc1BLAQItABQABgAIAAAAIQB/MZpTCgIAABYEAAAO&#10;AAAAAAAAAAAAAAAAAC4CAABkcnMvZTJvRG9jLnhtbFBLAQItABQABgAIAAAAIQBmw0Ai2wAAAAQB&#10;AAAPAAAAAAAAAAAAAAAAAGQEAABkcnMvZG93bnJldi54bWxQSwUGAAAAAAQABADzAAAAbAUAAAAA&#10;" filled="f" stroked="f">
              <v:fill o:detectmouseclick="t"/>
              <v:textbox style="mso-fit-shape-to-text:t" inset="0,15pt,0,0">
                <w:txbxContent>
                  <w:p w14:paraId="37BF6A2F" w14:textId="45594D5D" w:rsidR="00D36779" w:rsidRPr="00D36779" w:rsidRDefault="00D36779" w:rsidP="00D36779">
                    <w:pPr>
                      <w:spacing w:after="0"/>
                      <w:rPr>
                        <w:rFonts w:ascii="Aptos" w:eastAsia="Aptos" w:hAnsi="Aptos" w:cs="Aptos"/>
                        <w:noProof/>
                        <w:color w:val="000000"/>
                        <w:sz w:val="20"/>
                        <w:szCs w:val="20"/>
                      </w:rPr>
                    </w:pPr>
                    <w:r w:rsidRPr="00D36779">
                      <w:rPr>
                        <w:rFonts w:ascii="Aptos" w:eastAsia="Aptos" w:hAnsi="Aptos" w:cs="Aptos"/>
                        <w:noProof/>
                        <w:color w:val="000000"/>
                        <w:sz w:val="20"/>
                        <w:szCs w:val="20"/>
                      </w:rPr>
                      <w:t>COMMERCIAL IN 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5161"/>
    <w:multiLevelType w:val="multilevel"/>
    <w:tmpl w:val="917E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885404"/>
    <w:multiLevelType w:val="multilevel"/>
    <w:tmpl w:val="A63C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92287"/>
    <w:multiLevelType w:val="multilevel"/>
    <w:tmpl w:val="B5503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961042"/>
    <w:multiLevelType w:val="multilevel"/>
    <w:tmpl w:val="CE72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ED3FD6"/>
    <w:multiLevelType w:val="multilevel"/>
    <w:tmpl w:val="627A4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005CB"/>
    <w:multiLevelType w:val="multilevel"/>
    <w:tmpl w:val="CF209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917A6"/>
    <w:multiLevelType w:val="multilevel"/>
    <w:tmpl w:val="EE1A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114656"/>
    <w:multiLevelType w:val="multilevel"/>
    <w:tmpl w:val="32D8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D43FFC"/>
    <w:multiLevelType w:val="multilevel"/>
    <w:tmpl w:val="C558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3B4BAE"/>
    <w:multiLevelType w:val="multilevel"/>
    <w:tmpl w:val="3366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9244307">
    <w:abstractNumId w:val="3"/>
  </w:num>
  <w:num w:numId="2" w16cid:durableId="1109856717">
    <w:abstractNumId w:val="4"/>
  </w:num>
  <w:num w:numId="3" w16cid:durableId="343820170">
    <w:abstractNumId w:val="1"/>
  </w:num>
  <w:num w:numId="4" w16cid:durableId="793670485">
    <w:abstractNumId w:val="2"/>
  </w:num>
  <w:num w:numId="5" w16cid:durableId="428816500">
    <w:abstractNumId w:val="7"/>
  </w:num>
  <w:num w:numId="6" w16cid:durableId="1776900757">
    <w:abstractNumId w:val="9"/>
  </w:num>
  <w:num w:numId="7" w16cid:durableId="1756168330">
    <w:abstractNumId w:val="6"/>
  </w:num>
  <w:num w:numId="8" w16cid:durableId="1117216195">
    <w:abstractNumId w:val="8"/>
  </w:num>
  <w:num w:numId="9" w16cid:durableId="1708678630">
    <w:abstractNumId w:val="5"/>
  </w:num>
  <w:num w:numId="10" w16cid:durableId="139954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79"/>
    <w:rsid w:val="00312E74"/>
    <w:rsid w:val="006F5647"/>
    <w:rsid w:val="00B65CFD"/>
    <w:rsid w:val="00D36779"/>
    <w:rsid w:val="00F97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D3A66"/>
  <w15:chartTrackingRefBased/>
  <w15:docId w15:val="{4CF22CFA-03A5-48B6-B0E9-578D2AD0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7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7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7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7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7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7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7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7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779"/>
    <w:rPr>
      <w:rFonts w:eastAsiaTheme="majorEastAsia" w:cstheme="majorBidi"/>
      <w:color w:val="272727" w:themeColor="text1" w:themeTint="D8"/>
    </w:rPr>
  </w:style>
  <w:style w:type="paragraph" w:styleId="Title">
    <w:name w:val="Title"/>
    <w:basedOn w:val="Normal"/>
    <w:next w:val="Normal"/>
    <w:link w:val="TitleChar"/>
    <w:uiPriority w:val="10"/>
    <w:qFormat/>
    <w:rsid w:val="00D36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7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779"/>
    <w:pPr>
      <w:spacing w:before="160"/>
      <w:jc w:val="center"/>
    </w:pPr>
    <w:rPr>
      <w:i/>
      <w:iCs/>
      <w:color w:val="404040" w:themeColor="text1" w:themeTint="BF"/>
    </w:rPr>
  </w:style>
  <w:style w:type="character" w:customStyle="1" w:styleId="QuoteChar">
    <w:name w:val="Quote Char"/>
    <w:basedOn w:val="DefaultParagraphFont"/>
    <w:link w:val="Quote"/>
    <w:uiPriority w:val="29"/>
    <w:rsid w:val="00D36779"/>
    <w:rPr>
      <w:i/>
      <w:iCs/>
      <w:color w:val="404040" w:themeColor="text1" w:themeTint="BF"/>
    </w:rPr>
  </w:style>
  <w:style w:type="paragraph" w:styleId="ListParagraph">
    <w:name w:val="List Paragraph"/>
    <w:basedOn w:val="Normal"/>
    <w:uiPriority w:val="34"/>
    <w:qFormat/>
    <w:rsid w:val="00D36779"/>
    <w:pPr>
      <w:ind w:left="720"/>
      <w:contextualSpacing/>
    </w:pPr>
  </w:style>
  <w:style w:type="character" w:styleId="IntenseEmphasis">
    <w:name w:val="Intense Emphasis"/>
    <w:basedOn w:val="DefaultParagraphFont"/>
    <w:uiPriority w:val="21"/>
    <w:qFormat/>
    <w:rsid w:val="00D36779"/>
    <w:rPr>
      <w:i/>
      <w:iCs/>
      <w:color w:val="0F4761" w:themeColor="accent1" w:themeShade="BF"/>
    </w:rPr>
  </w:style>
  <w:style w:type="paragraph" w:styleId="IntenseQuote">
    <w:name w:val="Intense Quote"/>
    <w:basedOn w:val="Normal"/>
    <w:next w:val="Normal"/>
    <w:link w:val="IntenseQuoteChar"/>
    <w:uiPriority w:val="30"/>
    <w:qFormat/>
    <w:rsid w:val="00D36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779"/>
    <w:rPr>
      <w:i/>
      <w:iCs/>
      <w:color w:val="0F4761" w:themeColor="accent1" w:themeShade="BF"/>
    </w:rPr>
  </w:style>
  <w:style w:type="character" w:styleId="IntenseReference">
    <w:name w:val="Intense Reference"/>
    <w:basedOn w:val="DefaultParagraphFont"/>
    <w:uiPriority w:val="32"/>
    <w:qFormat/>
    <w:rsid w:val="00D36779"/>
    <w:rPr>
      <w:b/>
      <w:bCs/>
      <w:smallCaps/>
      <w:color w:val="0F4761" w:themeColor="accent1" w:themeShade="BF"/>
      <w:spacing w:val="5"/>
    </w:rPr>
  </w:style>
  <w:style w:type="paragraph" w:styleId="Header">
    <w:name w:val="header"/>
    <w:basedOn w:val="Normal"/>
    <w:link w:val="HeaderChar"/>
    <w:uiPriority w:val="99"/>
    <w:unhideWhenUsed/>
    <w:rsid w:val="00D36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779"/>
  </w:style>
  <w:style w:type="paragraph" w:styleId="Footer">
    <w:name w:val="footer"/>
    <w:basedOn w:val="Normal"/>
    <w:link w:val="FooterChar"/>
    <w:uiPriority w:val="99"/>
    <w:unhideWhenUsed/>
    <w:rsid w:val="00D36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354c29c-762e-41d7-9e9e-d757b435290c}" enabled="1" method="Privileged" siteId="{7413ad02-38a3-4710-90ac-2c7381c1efa8}" contentBits="3"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605</Words>
  <Characters>4229</Characters>
  <Application>Microsoft Office Word</Application>
  <DocSecurity>0</DocSecurity>
  <Lines>91</Lines>
  <Paragraphs>72</Paragraphs>
  <ScaleCrop>false</ScaleCrop>
  <HeadingPairs>
    <vt:vector size="2" baseType="variant">
      <vt:variant>
        <vt:lpstr>Title</vt:lpstr>
      </vt:variant>
      <vt:variant>
        <vt:i4>1</vt:i4>
      </vt:variant>
    </vt:vector>
  </HeadingPairs>
  <TitlesOfParts>
    <vt:vector size="1" baseType="lpstr">
      <vt:lpstr/>
    </vt:vector>
  </TitlesOfParts>
  <Company>FR Aviation Limited</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Kerrell2, Helen</dc:creator>
  <cp:keywords/>
  <dc:description/>
  <cp:lastModifiedBy>Kerrell2, Helen</cp:lastModifiedBy>
  <cp:revision>2</cp:revision>
  <dcterms:created xsi:type="dcterms:W3CDTF">2026-04-03T09:38:00Z</dcterms:created>
  <dcterms:modified xsi:type="dcterms:W3CDTF">2026-04-03T09:49:00Z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1b05d820,2bb4eff9,70145e53</vt:lpwstr>
  </property>
  <property fmtid="{D5CDD505-2E9C-101B-9397-08002B2CF9AE}" pid="3" name="ClassificationContentMarkingHeaderFontProps">
    <vt:lpwstr>#000000,10,Aptos</vt:lpwstr>
  </property>
  <property fmtid="{D5CDD505-2E9C-101B-9397-08002B2CF9AE}" pid="4" name="ClassificationContentMarkingHeaderText">
    <vt:lpwstr>COMMERCIAL IN CONFIDENCE</vt:lpwstr>
  </property>
  <property fmtid="{D5CDD505-2E9C-101B-9397-08002B2CF9AE}" pid="5" name="ClassificationContentMarkingFooterShapeIds">
    <vt:lpwstr>3feff400,608a7371,ce464a2</vt:lpwstr>
  </property>
  <property fmtid="{D5CDD505-2E9C-101B-9397-08002B2CF9AE}" pid="6" name="ClassificationContentMarkingFooterFontProps">
    <vt:lpwstr>#000000,10,Aptos</vt:lpwstr>
  </property>
  <property fmtid="{D5CDD505-2E9C-101B-9397-08002B2CF9AE}" pid="7" name="ClassificationContentMarkingFooterText">
    <vt:lpwstr>COMMERCIAL IN CONFIDENCE</vt:lpwstr>
  </property>
</Properties>
</file>