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40EE" w14:textId="3F1EA98F" w:rsidR="000D2E4B" w:rsidRPr="008C56FB" w:rsidRDefault="003741BF" w:rsidP="00165B38">
      <w:pPr>
        <w:pStyle w:val="Header"/>
        <w:rPr>
          <w:rFonts w:ascii="Tahoma" w:hAnsi="Tahoma" w:cs="Tahoma"/>
        </w:rPr>
      </w:pPr>
      <w:r w:rsidRPr="008C56FB">
        <w:rPr>
          <w:rFonts w:ascii="Tahoma" w:hAnsi="Tahoma" w:cs="Tahoma"/>
          <w:b/>
          <w:u w:val="single"/>
        </w:rPr>
        <w:t>Job Title:</w:t>
      </w:r>
      <w:r w:rsidR="000C4CA7" w:rsidRPr="008C56FB">
        <w:rPr>
          <w:rFonts w:ascii="Tahoma" w:hAnsi="Tahoma" w:cs="Tahoma"/>
          <w:b/>
        </w:rPr>
        <w:t xml:space="preserve">  </w:t>
      </w:r>
      <w:r w:rsidR="00D37AC2" w:rsidRPr="00D37AC2">
        <w:rPr>
          <w:rFonts w:ascii="Tahoma" w:hAnsi="Tahoma" w:cs="Tahoma"/>
          <w:b/>
        </w:rPr>
        <w:t>Engineering Delivery Manager (Draken)</w:t>
      </w:r>
    </w:p>
    <w:tbl>
      <w:tblPr>
        <w:tblStyle w:val="TableGrid"/>
        <w:tblW w:w="0" w:type="auto"/>
        <w:tblLook w:val="04A0" w:firstRow="1" w:lastRow="0" w:firstColumn="1" w:lastColumn="0" w:noHBand="0" w:noVBand="1"/>
      </w:tblPr>
      <w:tblGrid>
        <w:gridCol w:w="9016"/>
      </w:tblGrid>
      <w:tr w:rsidR="003741BF" w:rsidRPr="008C56FB" w14:paraId="36FE9E13" w14:textId="77777777" w:rsidTr="00165B38">
        <w:tc>
          <w:tcPr>
            <w:tcW w:w="9016" w:type="dxa"/>
            <w:shd w:val="clear" w:color="auto" w:fill="A6A6A6" w:themeFill="background1" w:themeFillShade="A6"/>
          </w:tcPr>
          <w:p w14:paraId="65DBA966" w14:textId="77777777" w:rsidR="003741BF" w:rsidRPr="008C56FB" w:rsidRDefault="003741BF" w:rsidP="003741BF">
            <w:pPr>
              <w:pStyle w:val="NoSpacing"/>
              <w:rPr>
                <w:rFonts w:ascii="Tahoma" w:hAnsi="Tahoma" w:cs="Tahoma"/>
                <w:sz w:val="12"/>
              </w:rPr>
            </w:pPr>
          </w:p>
        </w:tc>
      </w:tr>
    </w:tbl>
    <w:p w14:paraId="61030795" w14:textId="77777777" w:rsidR="003741BF" w:rsidRPr="008C56FB" w:rsidRDefault="003741BF" w:rsidP="003741BF">
      <w:pPr>
        <w:pStyle w:val="NoSpacing"/>
        <w:rPr>
          <w:rFonts w:ascii="Tahoma" w:hAnsi="Tahoma" w:cs="Tahoma"/>
        </w:rPr>
      </w:pPr>
    </w:p>
    <w:tbl>
      <w:tblPr>
        <w:tblStyle w:val="TableGrid"/>
        <w:tblW w:w="0" w:type="auto"/>
        <w:tblLook w:val="04A0" w:firstRow="1" w:lastRow="0" w:firstColumn="1" w:lastColumn="0" w:noHBand="0" w:noVBand="1"/>
      </w:tblPr>
      <w:tblGrid>
        <w:gridCol w:w="9016"/>
      </w:tblGrid>
      <w:tr w:rsidR="00E4167E" w:rsidRPr="00973A69" w14:paraId="514C8717" w14:textId="77777777" w:rsidTr="00165B38">
        <w:trPr>
          <w:trHeight w:val="454"/>
        </w:trPr>
        <w:tc>
          <w:tcPr>
            <w:tcW w:w="9401" w:type="dxa"/>
            <w:shd w:val="clear" w:color="auto" w:fill="A6A6A6" w:themeFill="background1" w:themeFillShade="A6"/>
            <w:vAlign w:val="center"/>
          </w:tcPr>
          <w:p w14:paraId="4C46C04F" w14:textId="77777777" w:rsidR="00E4167E" w:rsidRPr="00973A69" w:rsidRDefault="00E4167E" w:rsidP="000A2227">
            <w:pPr>
              <w:pStyle w:val="Header"/>
              <w:rPr>
                <w:rFonts w:ascii="Tahoma" w:hAnsi="Tahoma" w:cs="Tahoma"/>
                <w:b/>
                <w:szCs w:val="28"/>
              </w:rPr>
            </w:pPr>
            <w:r w:rsidRPr="00973A69">
              <w:rPr>
                <w:rFonts w:ascii="Tahoma" w:hAnsi="Tahoma" w:cs="Tahoma"/>
                <w:b/>
                <w:szCs w:val="28"/>
              </w:rPr>
              <w:t>Role Purpose (Position Scope)</w:t>
            </w:r>
          </w:p>
        </w:tc>
      </w:tr>
      <w:tr w:rsidR="00E4167E" w:rsidRPr="00973A69" w14:paraId="5266AF3F" w14:textId="77777777" w:rsidTr="000A2227">
        <w:tc>
          <w:tcPr>
            <w:tcW w:w="9401" w:type="dxa"/>
            <w:vAlign w:val="center"/>
          </w:tcPr>
          <w:p w14:paraId="7938C5F5" w14:textId="77777777" w:rsidR="00D136B9" w:rsidRDefault="00D136B9" w:rsidP="00D136B9">
            <w:pPr>
              <w:pStyle w:val="Header"/>
              <w:rPr>
                <w:rFonts w:ascii="Tahoma" w:hAnsi="Tahoma" w:cs="Tahoma"/>
                <w:sz w:val="20"/>
                <w:szCs w:val="20"/>
              </w:rPr>
            </w:pPr>
          </w:p>
          <w:p w14:paraId="4B0130CC" w14:textId="77777777" w:rsidR="00D37AC2" w:rsidRPr="00D37AC2" w:rsidRDefault="00D37AC2" w:rsidP="00D37AC2">
            <w:pPr>
              <w:jc w:val="both"/>
              <w:rPr>
                <w:rFonts w:ascii="Calibri" w:eastAsia="Times New Roman" w:hAnsi="Calibri" w:cs="Calibri"/>
                <w:lang w:eastAsia="en-GB"/>
              </w:rPr>
            </w:pPr>
            <w:r w:rsidRPr="00D37AC2">
              <w:rPr>
                <w:rFonts w:ascii="Calibri" w:eastAsia="Times New Roman" w:hAnsi="Calibri" w:cs="Calibri"/>
                <w:lang w:eastAsia="en-GB"/>
              </w:rPr>
              <w:t>The Engineering Delivery Manager will work within the aircraft engineering</w:t>
            </w:r>
          </w:p>
          <w:p w14:paraId="07B9D369" w14:textId="77777777" w:rsidR="00D37AC2" w:rsidRPr="00D37AC2" w:rsidRDefault="00D37AC2" w:rsidP="00D37AC2">
            <w:pPr>
              <w:jc w:val="both"/>
              <w:rPr>
                <w:rFonts w:ascii="Calibri" w:eastAsia="Times New Roman" w:hAnsi="Calibri" w:cs="Calibri"/>
                <w:lang w:eastAsia="en-GB"/>
              </w:rPr>
            </w:pPr>
            <w:r w:rsidRPr="00D37AC2">
              <w:rPr>
                <w:rFonts w:ascii="Calibri" w:eastAsia="Times New Roman" w:hAnsi="Calibri" w:cs="Calibri"/>
                <w:lang w:eastAsia="en-GB"/>
              </w:rPr>
              <w:t>environment across a full contract life cycle. The primary role is to assist the Design, CAMO,</w:t>
            </w:r>
          </w:p>
          <w:p w14:paraId="7EF02527" w14:textId="77777777" w:rsidR="00D37AC2" w:rsidRPr="00D37AC2" w:rsidRDefault="00D37AC2" w:rsidP="00D37AC2">
            <w:pPr>
              <w:jc w:val="both"/>
              <w:rPr>
                <w:rFonts w:ascii="Calibri" w:eastAsia="Times New Roman" w:hAnsi="Calibri" w:cs="Calibri"/>
                <w:lang w:eastAsia="en-GB"/>
              </w:rPr>
            </w:pPr>
            <w:r w:rsidRPr="00D37AC2">
              <w:rPr>
                <w:rFonts w:ascii="Calibri" w:eastAsia="Times New Roman" w:hAnsi="Calibri" w:cs="Calibri"/>
                <w:lang w:eastAsia="en-GB"/>
              </w:rPr>
              <w:t>Manufacturing and Integration Teams and act as the interfacing agent to the Programmes department and Customer.</w:t>
            </w:r>
          </w:p>
          <w:p w14:paraId="5DCE4A58" w14:textId="77777777" w:rsidR="00D37AC2" w:rsidRPr="00D37AC2" w:rsidRDefault="00D37AC2" w:rsidP="00D37AC2">
            <w:pPr>
              <w:jc w:val="both"/>
              <w:rPr>
                <w:rFonts w:ascii="Calibri" w:eastAsia="Times New Roman" w:hAnsi="Calibri" w:cs="Calibri"/>
                <w:lang w:eastAsia="en-GB"/>
              </w:rPr>
            </w:pPr>
            <w:r w:rsidRPr="00D37AC2">
              <w:rPr>
                <w:rFonts w:ascii="Calibri" w:eastAsia="Times New Roman" w:hAnsi="Calibri" w:cs="Calibri"/>
                <w:lang w:eastAsia="en-GB"/>
              </w:rPr>
              <w:t>To work within the engineering delivery team across all contracts and enable and facilitate communication within the team.</w:t>
            </w:r>
          </w:p>
          <w:p w14:paraId="4E06F180" w14:textId="77777777" w:rsidR="00D37AC2" w:rsidRPr="00D37AC2" w:rsidRDefault="00D37AC2" w:rsidP="00D37AC2">
            <w:pPr>
              <w:jc w:val="both"/>
              <w:rPr>
                <w:rFonts w:ascii="Calibri" w:eastAsia="Times New Roman" w:hAnsi="Calibri" w:cs="Calibri"/>
                <w:lang w:eastAsia="en-GB"/>
              </w:rPr>
            </w:pPr>
            <w:r w:rsidRPr="00D37AC2">
              <w:rPr>
                <w:rFonts w:ascii="Calibri" w:eastAsia="Times New Roman" w:hAnsi="Calibri" w:cs="Calibri"/>
                <w:lang w:eastAsia="en-GB"/>
              </w:rPr>
              <w:t>To enable extensive communication and effective interfacing required with the Customer, Ministry of Defence (MoD), Industry stakeholders, and the Draken Management Team.</w:t>
            </w:r>
          </w:p>
          <w:p w14:paraId="7B6BAC0A" w14:textId="77777777" w:rsidR="00D37AC2" w:rsidRPr="00D37AC2" w:rsidRDefault="00D37AC2" w:rsidP="00D37AC2">
            <w:pPr>
              <w:jc w:val="both"/>
              <w:rPr>
                <w:rFonts w:ascii="Calibri" w:eastAsia="Times New Roman" w:hAnsi="Calibri" w:cs="Calibri"/>
                <w:lang w:eastAsia="en-GB"/>
              </w:rPr>
            </w:pPr>
            <w:r w:rsidRPr="00D37AC2">
              <w:rPr>
                <w:rFonts w:ascii="Calibri" w:eastAsia="Times New Roman" w:hAnsi="Calibri" w:cs="Calibri"/>
                <w:lang w:eastAsia="en-GB"/>
              </w:rPr>
              <w:t>To be flexible with regards to travel and working in different locations as required.</w:t>
            </w:r>
          </w:p>
          <w:p w14:paraId="3F0F8B7A" w14:textId="77777777" w:rsidR="002629C7" w:rsidRPr="00973A69" w:rsidRDefault="002629C7" w:rsidP="00E62938">
            <w:pPr>
              <w:pStyle w:val="Header"/>
              <w:rPr>
                <w:rFonts w:ascii="Tahoma" w:hAnsi="Tahoma" w:cs="Tahoma"/>
                <w:sz w:val="20"/>
                <w:szCs w:val="20"/>
              </w:rPr>
            </w:pPr>
          </w:p>
        </w:tc>
      </w:tr>
    </w:tbl>
    <w:p w14:paraId="485DDB41" w14:textId="77777777" w:rsidR="003741BF" w:rsidRDefault="003741BF" w:rsidP="003741BF">
      <w:pPr>
        <w:pStyle w:val="NoSpacing"/>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2255"/>
        <w:gridCol w:w="1832"/>
        <w:gridCol w:w="1692"/>
        <w:gridCol w:w="1685"/>
      </w:tblGrid>
      <w:tr w:rsidR="00D37AC2" w:rsidRPr="008236E1" w14:paraId="64543249" w14:textId="09374B6D" w:rsidTr="00165B38">
        <w:trPr>
          <w:jc w:val="center"/>
        </w:trPr>
        <w:tc>
          <w:tcPr>
            <w:tcW w:w="1552" w:type="dxa"/>
            <w:shd w:val="clear" w:color="auto" w:fill="A6A6A6" w:themeFill="background1" w:themeFillShade="A6"/>
          </w:tcPr>
          <w:p w14:paraId="53B11E82" w14:textId="77777777" w:rsidR="00D37AC2" w:rsidRPr="00D37AC2" w:rsidRDefault="00D37AC2" w:rsidP="00D37AC2">
            <w:pPr>
              <w:spacing w:before="120" w:after="120"/>
              <w:jc w:val="center"/>
              <w:rPr>
                <w:rFonts w:cstheme="minorHAnsi"/>
                <w:b/>
              </w:rPr>
            </w:pPr>
            <w:r w:rsidRPr="00D37AC2">
              <w:rPr>
                <w:rFonts w:cstheme="minorHAnsi"/>
                <w:b/>
              </w:rPr>
              <w:t>Line Manager</w:t>
            </w:r>
          </w:p>
        </w:tc>
        <w:tc>
          <w:tcPr>
            <w:tcW w:w="2255" w:type="dxa"/>
            <w:shd w:val="clear" w:color="auto" w:fill="A6A6A6" w:themeFill="background1" w:themeFillShade="A6"/>
          </w:tcPr>
          <w:p w14:paraId="4CEC4F85" w14:textId="77777777" w:rsidR="00D37AC2" w:rsidRPr="00D37AC2" w:rsidRDefault="00D37AC2" w:rsidP="00D37AC2">
            <w:pPr>
              <w:spacing w:before="120" w:after="120"/>
              <w:jc w:val="center"/>
              <w:rPr>
                <w:rFonts w:cstheme="minorHAnsi"/>
                <w:b/>
              </w:rPr>
            </w:pPr>
            <w:r w:rsidRPr="00D37AC2">
              <w:rPr>
                <w:rFonts w:cstheme="minorHAnsi"/>
                <w:b/>
              </w:rPr>
              <w:t>Dotted Line</w:t>
            </w:r>
          </w:p>
        </w:tc>
        <w:tc>
          <w:tcPr>
            <w:tcW w:w="1832" w:type="dxa"/>
            <w:shd w:val="clear" w:color="auto" w:fill="A6A6A6" w:themeFill="background1" w:themeFillShade="A6"/>
          </w:tcPr>
          <w:p w14:paraId="20B3898B" w14:textId="77777777" w:rsidR="00D37AC2" w:rsidRPr="00D37AC2" w:rsidRDefault="00D37AC2" w:rsidP="00D37AC2">
            <w:pPr>
              <w:spacing w:before="120" w:after="120"/>
              <w:jc w:val="center"/>
              <w:rPr>
                <w:rFonts w:cstheme="minorHAnsi"/>
                <w:b/>
              </w:rPr>
            </w:pPr>
            <w:r w:rsidRPr="00D37AC2">
              <w:rPr>
                <w:rFonts w:cstheme="minorHAnsi"/>
                <w:b/>
              </w:rPr>
              <w:t>Direct Reports</w:t>
            </w:r>
          </w:p>
        </w:tc>
        <w:tc>
          <w:tcPr>
            <w:tcW w:w="1692" w:type="dxa"/>
            <w:shd w:val="clear" w:color="auto" w:fill="A6A6A6" w:themeFill="background1" w:themeFillShade="A6"/>
          </w:tcPr>
          <w:p w14:paraId="22B06660" w14:textId="77777777" w:rsidR="00D37AC2" w:rsidRPr="00D37AC2" w:rsidRDefault="00D37AC2" w:rsidP="00D37AC2">
            <w:pPr>
              <w:spacing w:before="120" w:after="120"/>
              <w:jc w:val="center"/>
              <w:rPr>
                <w:rFonts w:cstheme="minorHAnsi"/>
                <w:b/>
              </w:rPr>
            </w:pPr>
            <w:r w:rsidRPr="00D37AC2">
              <w:rPr>
                <w:rFonts w:cstheme="minorHAnsi"/>
                <w:b/>
              </w:rPr>
              <w:t>Dotted Line</w:t>
            </w:r>
          </w:p>
        </w:tc>
        <w:tc>
          <w:tcPr>
            <w:tcW w:w="1685" w:type="dxa"/>
            <w:shd w:val="clear" w:color="auto" w:fill="A6A6A6" w:themeFill="background1" w:themeFillShade="A6"/>
          </w:tcPr>
          <w:p w14:paraId="295550C4" w14:textId="04BEE029" w:rsidR="00D37AC2" w:rsidRPr="00D37AC2" w:rsidRDefault="00D37AC2" w:rsidP="00D37AC2">
            <w:pPr>
              <w:spacing w:before="120" w:after="120"/>
              <w:jc w:val="center"/>
              <w:rPr>
                <w:rFonts w:cstheme="minorHAnsi"/>
                <w:b/>
              </w:rPr>
            </w:pPr>
            <w:r w:rsidRPr="00D37AC2">
              <w:rPr>
                <w:rFonts w:cstheme="minorHAnsi"/>
                <w:b/>
              </w:rPr>
              <w:t>Home base</w:t>
            </w:r>
          </w:p>
        </w:tc>
      </w:tr>
      <w:tr w:rsidR="00D37AC2" w:rsidRPr="008236E1" w14:paraId="336C50ED" w14:textId="49084392" w:rsidTr="00D37AC2">
        <w:trPr>
          <w:jc w:val="center"/>
        </w:trPr>
        <w:tc>
          <w:tcPr>
            <w:tcW w:w="1552" w:type="dxa"/>
            <w:vAlign w:val="center"/>
          </w:tcPr>
          <w:p w14:paraId="0D1A0A51" w14:textId="4EA65E1E" w:rsidR="00D37AC2" w:rsidRPr="00D37AC2" w:rsidRDefault="00D37AC2" w:rsidP="00D37AC2">
            <w:pPr>
              <w:pStyle w:val="ListParagraph"/>
              <w:ind w:left="0"/>
              <w:jc w:val="center"/>
              <w:rPr>
                <w:rFonts w:asciiTheme="minorHAnsi" w:hAnsiTheme="minorHAnsi" w:cstheme="minorHAnsi"/>
                <w:sz w:val="22"/>
                <w:szCs w:val="22"/>
              </w:rPr>
            </w:pPr>
            <w:r w:rsidRPr="00D37AC2">
              <w:rPr>
                <w:rFonts w:asciiTheme="minorHAnsi" w:hAnsiTheme="minorHAnsi" w:cstheme="minorHAnsi"/>
                <w:sz w:val="22"/>
                <w:szCs w:val="22"/>
              </w:rPr>
              <w:t>Director Engineering Services</w:t>
            </w:r>
          </w:p>
        </w:tc>
        <w:tc>
          <w:tcPr>
            <w:tcW w:w="2255" w:type="dxa"/>
            <w:vAlign w:val="center"/>
          </w:tcPr>
          <w:p w14:paraId="06E2D2F1" w14:textId="0553007C" w:rsidR="00D37AC2" w:rsidRPr="00D37AC2" w:rsidRDefault="00D37AC2" w:rsidP="00D37AC2">
            <w:pPr>
              <w:spacing w:after="0"/>
              <w:jc w:val="center"/>
              <w:rPr>
                <w:rFonts w:cstheme="minorHAnsi"/>
              </w:rPr>
            </w:pPr>
            <w:r w:rsidRPr="00D37AC2">
              <w:rPr>
                <w:rFonts w:cstheme="minorHAnsi"/>
              </w:rPr>
              <w:t>Part 145 Manager</w:t>
            </w:r>
          </w:p>
          <w:p w14:paraId="3AD95B55" w14:textId="2CC118D8" w:rsidR="00D37AC2" w:rsidRPr="00D37AC2" w:rsidRDefault="00D37AC2" w:rsidP="00D37AC2">
            <w:pPr>
              <w:spacing w:after="0"/>
              <w:jc w:val="center"/>
              <w:rPr>
                <w:rFonts w:cstheme="minorHAnsi"/>
              </w:rPr>
            </w:pPr>
            <w:r w:rsidRPr="00D37AC2">
              <w:rPr>
                <w:rFonts w:cstheme="minorHAnsi"/>
              </w:rPr>
              <w:t>(Form 4).</w:t>
            </w:r>
          </w:p>
          <w:p w14:paraId="7C9BD5A8" w14:textId="77777777" w:rsidR="00D37AC2" w:rsidRPr="00D37AC2" w:rsidRDefault="00D37AC2" w:rsidP="00D37AC2">
            <w:pPr>
              <w:spacing w:after="0"/>
              <w:jc w:val="center"/>
              <w:rPr>
                <w:rFonts w:cstheme="minorHAnsi"/>
              </w:rPr>
            </w:pPr>
            <w:r w:rsidRPr="00D37AC2">
              <w:rPr>
                <w:rFonts w:cstheme="minorHAnsi"/>
              </w:rPr>
              <w:t>CAM</w:t>
            </w:r>
          </w:p>
          <w:p w14:paraId="3B0A7934" w14:textId="438C68C3" w:rsidR="00D37AC2" w:rsidRPr="00D37AC2" w:rsidRDefault="00D37AC2" w:rsidP="00D37AC2">
            <w:pPr>
              <w:spacing w:after="0"/>
              <w:jc w:val="center"/>
              <w:rPr>
                <w:rFonts w:cstheme="minorHAnsi"/>
              </w:rPr>
            </w:pPr>
            <w:r w:rsidRPr="00D37AC2">
              <w:rPr>
                <w:rFonts w:cstheme="minorHAnsi"/>
              </w:rPr>
              <w:t>HOD</w:t>
            </w:r>
          </w:p>
        </w:tc>
        <w:tc>
          <w:tcPr>
            <w:tcW w:w="1832" w:type="dxa"/>
            <w:vAlign w:val="center"/>
          </w:tcPr>
          <w:p w14:paraId="1BD88713" w14:textId="7601671F" w:rsidR="00D37AC2" w:rsidRPr="00D37AC2" w:rsidRDefault="00D37AC2" w:rsidP="00D37AC2">
            <w:pPr>
              <w:pStyle w:val="Header"/>
              <w:jc w:val="center"/>
              <w:rPr>
                <w:rFonts w:cstheme="minorHAnsi"/>
              </w:rPr>
            </w:pPr>
            <w:r w:rsidRPr="00D37AC2">
              <w:rPr>
                <w:rFonts w:cstheme="minorHAnsi"/>
              </w:rPr>
              <w:t>NIL</w:t>
            </w:r>
          </w:p>
        </w:tc>
        <w:tc>
          <w:tcPr>
            <w:tcW w:w="1692" w:type="dxa"/>
            <w:vAlign w:val="center"/>
          </w:tcPr>
          <w:p w14:paraId="5CC2ACCE" w14:textId="6F1E2FC4" w:rsidR="00D37AC2" w:rsidRPr="00D37AC2" w:rsidRDefault="00D37AC2" w:rsidP="00D37AC2">
            <w:pPr>
              <w:spacing w:after="0"/>
              <w:jc w:val="center"/>
              <w:rPr>
                <w:rFonts w:cstheme="minorHAnsi"/>
              </w:rPr>
            </w:pPr>
            <w:r w:rsidRPr="00D37AC2">
              <w:rPr>
                <w:rFonts w:cstheme="minorHAnsi"/>
              </w:rPr>
              <w:t>N/A</w:t>
            </w:r>
          </w:p>
        </w:tc>
        <w:tc>
          <w:tcPr>
            <w:tcW w:w="1685" w:type="dxa"/>
            <w:vAlign w:val="center"/>
          </w:tcPr>
          <w:p w14:paraId="5D15261B" w14:textId="29AA4782" w:rsidR="00D37AC2" w:rsidRPr="00D37AC2" w:rsidRDefault="00D37AC2" w:rsidP="00D37AC2">
            <w:pPr>
              <w:spacing w:after="0"/>
              <w:jc w:val="center"/>
              <w:rPr>
                <w:rFonts w:cstheme="minorHAnsi"/>
              </w:rPr>
            </w:pPr>
            <w:r w:rsidRPr="00C950CF">
              <w:t>Hurn</w:t>
            </w:r>
          </w:p>
        </w:tc>
      </w:tr>
    </w:tbl>
    <w:p w14:paraId="5D6951C3" w14:textId="77777777" w:rsidR="00E4167E" w:rsidRPr="00973A69" w:rsidRDefault="00E4167E" w:rsidP="003741BF">
      <w:pPr>
        <w:pStyle w:val="NoSpacing"/>
        <w:rPr>
          <w:rFonts w:ascii="Tahoma" w:hAnsi="Tahoma" w:cs="Tahoma"/>
        </w:rPr>
      </w:pPr>
    </w:p>
    <w:tbl>
      <w:tblPr>
        <w:tblStyle w:val="TableGrid"/>
        <w:tblW w:w="0" w:type="auto"/>
        <w:tblLook w:val="04A0" w:firstRow="1" w:lastRow="0" w:firstColumn="1" w:lastColumn="0" w:noHBand="0" w:noVBand="1"/>
      </w:tblPr>
      <w:tblGrid>
        <w:gridCol w:w="9016"/>
      </w:tblGrid>
      <w:tr w:rsidR="00E4167E" w:rsidRPr="00973A69" w14:paraId="426A876C" w14:textId="77777777" w:rsidTr="00165B38">
        <w:trPr>
          <w:trHeight w:val="454"/>
        </w:trPr>
        <w:tc>
          <w:tcPr>
            <w:tcW w:w="9016" w:type="dxa"/>
            <w:shd w:val="clear" w:color="auto" w:fill="A6A6A6" w:themeFill="background1" w:themeFillShade="A6"/>
            <w:vAlign w:val="center"/>
          </w:tcPr>
          <w:p w14:paraId="2C72927D" w14:textId="77777777" w:rsidR="00E4167E" w:rsidRPr="00973A69" w:rsidRDefault="00E4167E" w:rsidP="000A2227">
            <w:pPr>
              <w:pStyle w:val="Header"/>
              <w:rPr>
                <w:rFonts w:ascii="Tahoma" w:hAnsi="Tahoma" w:cs="Tahoma"/>
                <w:b/>
                <w:szCs w:val="28"/>
              </w:rPr>
            </w:pPr>
            <w:r w:rsidRPr="00973A69">
              <w:rPr>
                <w:rFonts w:ascii="Tahoma" w:hAnsi="Tahoma" w:cs="Tahoma"/>
                <w:b/>
                <w:szCs w:val="28"/>
              </w:rPr>
              <w:t>Key Responsibilities</w:t>
            </w:r>
          </w:p>
        </w:tc>
      </w:tr>
      <w:tr w:rsidR="002819A1" w:rsidRPr="00973A69" w14:paraId="0F38072C" w14:textId="77777777" w:rsidTr="00C17DC6">
        <w:tc>
          <w:tcPr>
            <w:tcW w:w="9016" w:type="dxa"/>
            <w:tcBorders>
              <w:bottom w:val="single" w:sz="4" w:space="0" w:color="auto"/>
            </w:tcBorders>
            <w:vAlign w:val="center"/>
          </w:tcPr>
          <w:p w14:paraId="449D6B3E" w14:textId="77777777" w:rsidR="00165B38" w:rsidRPr="00165B38" w:rsidRDefault="00165B38" w:rsidP="00165B38">
            <w:pPr>
              <w:rPr>
                <w:rFonts w:ascii="Calibri" w:eastAsia="Times New Roman" w:hAnsi="Calibri" w:cs="Calibri"/>
                <w:b/>
                <w:bCs/>
                <w:u w:val="single"/>
                <w:lang w:val="en-US" w:eastAsia="en-GB"/>
              </w:rPr>
            </w:pPr>
            <w:r w:rsidRPr="00165B38">
              <w:rPr>
                <w:rFonts w:ascii="Calibri" w:eastAsia="Times New Roman" w:hAnsi="Calibri" w:cs="Calibri"/>
                <w:b/>
                <w:bCs/>
                <w:u w:val="single"/>
                <w:lang w:val="en-US" w:eastAsia="en-GB"/>
              </w:rPr>
              <w:t>Responsibility &amp; Ownership</w:t>
            </w:r>
          </w:p>
          <w:p w14:paraId="66281591" w14:textId="77777777" w:rsidR="00165B38" w:rsidRPr="00165B38" w:rsidRDefault="00165B38" w:rsidP="00165B38">
            <w:pPr>
              <w:rPr>
                <w:rFonts w:ascii="Calibri" w:eastAsia="Times New Roman" w:hAnsi="Calibri" w:cs="Calibri"/>
                <w:b/>
                <w:bCs/>
                <w:u w:val="single"/>
                <w:lang w:val="en-US" w:eastAsia="en-GB"/>
              </w:rPr>
            </w:pPr>
            <w:r w:rsidRPr="00165B38">
              <w:rPr>
                <w:rFonts w:ascii="Calibri" w:eastAsia="Times New Roman" w:hAnsi="Calibri" w:cs="Calibri"/>
                <w:b/>
                <w:bCs/>
                <w:u w:val="single"/>
                <w:lang w:val="en-US" w:eastAsia="en-GB"/>
              </w:rPr>
              <w:t xml:space="preserve">  </w:t>
            </w:r>
          </w:p>
          <w:p w14:paraId="2AD05908"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To provide leadership and represent the engineering department across the lifecycle of allocated projects from bid feasibility to contract sustainment to all business functions.</w:t>
            </w:r>
          </w:p>
          <w:p w14:paraId="15F45D54"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To act as the interface between the programmes department and the functional Engineering departments.</w:t>
            </w:r>
          </w:p>
          <w:p w14:paraId="5AAD15B0"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Ensuring timely, correct, and compliant responses to customer enquiries, prepare clarifications and deviations to bids, and direct technical optimisation and negotiations together with the core bid team. </w:t>
            </w:r>
          </w:p>
          <w:p w14:paraId="3D25E74A"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Responsibility for the development of the technical solution during the bid phase. </w:t>
            </w:r>
          </w:p>
          <w:p w14:paraId="7226E05D"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To represent on behalf of the Engineering form 4 NPH’s with regards to interface with the customer and programmes department.</w:t>
            </w:r>
          </w:p>
          <w:p w14:paraId="587A51DC"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Make decisions on behalf on the Engineering management team.</w:t>
            </w:r>
          </w:p>
          <w:p w14:paraId="67A34B59"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Lead the technical domain architects and validate the design with stakeholders and sponsors to ensure the design satisfies the requirements. </w:t>
            </w:r>
          </w:p>
          <w:p w14:paraId="7E8E7AC8" w14:textId="3680C1AA"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To utilise the delegated authority on behalf of the engineering departments within the scope of the allocated tasking </w:t>
            </w:r>
            <w:r w:rsidRPr="00165B38">
              <w:rPr>
                <w:rFonts w:ascii="Calibri" w:eastAsia="Times New Roman" w:hAnsi="Calibri" w:cs="Calibri"/>
                <w:color w:val="404040"/>
                <w:lang w:val="en" w:eastAsia="en-GB"/>
              </w:rPr>
              <w:t>in line</w:t>
            </w:r>
            <w:r w:rsidRPr="00165B38">
              <w:rPr>
                <w:rFonts w:ascii="Calibri" w:eastAsia="Times New Roman" w:hAnsi="Calibri" w:cs="Calibri"/>
                <w:color w:val="404040"/>
                <w:lang w:val="en" w:eastAsia="en-GB"/>
              </w:rPr>
              <w:t xml:space="preserve"> with the project lifecycle.</w:t>
            </w:r>
          </w:p>
          <w:p w14:paraId="3B09489D"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Represent the engineering department and communicating on all levels.</w:t>
            </w:r>
          </w:p>
          <w:p w14:paraId="6E336F8C"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Acting as an SME on engineering subjects to other company departments as and when required</w:t>
            </w:r>
          </w:p>
          <w:p w14:paraId="464B36C2"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Identifying continuous improvement opportunities across all departments during the designated tasking.</w:t>
            </w:r>
          </w:p>
          <w:p w14:paraId="4E8095B4"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Interface and report on the scope of contracted work within agreed budgets using evaluation techniques, delivering each contracted milestone to agreed performance, cost, quality, and schedule commitment.</w:t>
            </w:r>
          </w:p>
          <w:p w14:paraId="35FC0371"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lastRenderedPageBreak/>
              <w:t xml:space="preserve">Solutions Integration (airworthiness management, aircraft maintenance, </w:t>
            </w:r>
            <w:proofErr w:type="spellStart"/>
            <w:r w:rsidRPr="00165B38">
              <w:rPr>
                <w:rFonts w:ascii="Calibri" w:eastAsia="Times New Roman" w:hAnsi="Calibri" w:cs="Calibri"/>
                <w:color w:val="404040"/>
                <w:lang w:val="en" w:eastAsia="en-GB"/>
              </w:rPr>
              <w:t>programme</w:t>
            </w:r>
            <w:proofErr w:type="spellEnd"/>
            <w:r w:rsidRPr="00165B38">
              <w:rPr>
                <w:rFonts w:ascii="Calibri" w:eastAsia="Times New Roman" w:hAnsi="Calibri" w:cs="Calibri"/>
                <w:color w:val="404040"/>
                <w:lang w:val="en" w:eastAsia="en-GB"/>
              </w:rPr>
              <w:t xml:space="preserve"> management, engineering, supply chain, business transformation and commercial contracting) of highly complex aerospace implementation programmes within a multi-disciplined governed framework.</w:t>
            </w:r>
          </w:p>
          <w:p w14:paraId="201CD2DB"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Effective reporting on key contractual deliverables e.g. KPI and PI performance.</w:t>
            </w:r>
          </w:p>
          <w:p w14:paraId="0CD1D602"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Ensure that the customer and delivery requirements are fully understood, communicated to the team and are implemented within the delivery plan.</w:t>
            </w:r>
          </w:p>
          <w:p w14:paraId="690BB1E9"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Provide initial assessment and impact statements across the multi-functional team to perform and deliver requirements.</w:t>
            </w:r>
          </w:p>
          <w:p w14:paraId="00B537C7"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Work in conjunction with other functional teams, ensure that the resources required are recruited, retained, properly motivated with realistic goals, have the correct skills and are assigned to the appropriate tasks and duties.</w:t>
            </w:r>
          </w:p>
          <w:p w14:paraId="432971A2"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Liaise closely with customers as required, subject matter experts, other companies, and industry stakeholders to always ensure open communication channels establishing strong, trusting relationships.</w:t>
            </w:r>
          </w:p>
          <w:p w14:paraId="27F9315D"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Facilitate problem-solving initiatives. This will require technical competence and ability to generate tactical solutions from the customers’ perspective.</w:t>
            </w:r>
          </w:p>
          <w:p w14:paraId="1DE7961A" w14:textId="77777777" w:rsidR="00165B38" w:rsidRPr="00165B38" w:rsidRDefault="00165B38" w:rsidP="00165B38">
            <w:pPr>
              <w:numPr>
                <w:ilvl w:val="0"/>
                <w:numId w:val="18"/>
              </w:numPr>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Identify risks and opportunities, quantify and produce mitigation plans.</w:t>
            </w:r>
          </w:p>
          <w:p w14:paraId="58762AB3" w14:textId="77777777" w:rsidR="00165B38" w:rsidRPr="00165B38" w:rsidRDefault="00165B38" w:rsidP="00165B38">
            <w:pPr>
              <w:numPr>
                <w:ilvl w:val="0"/>
                <w:numId w:val="18"/>
              </w:numPr>
              <w:contextualSpacing/>
              <w:rPr>
                <w:rFonts w:ascii="Calibri" w:eastAsia="Times New Roman" w:hAnsi="Calibri" w:cs="Calibri"/>
                <w:lang w:val="en-US" w:eastAsia="en-GB"/>
              </w:rPr>
            </w:pPr>
            <w:r w:rsidRPr="00165B38">
              <w:rPr>
                <w:rFonts w:ascii="Calibri" w:eastAsia="Times New Roman" w:hAnsi="Calibri" w:cs="Calibri"/>
                <w:color w:val="404040"/>
                <w:lang w:val="en" w:eastAsia="en-GB"/>
              </w:rPr>
              <w:t>Develop strong relationships with the operational customer community and team to ensure that they are meeting their commitments to the project.</w:t>
            </w:r>
          </w:p>
          <w:p w14:paraId="48510B44" w14:textId="77777777" w:rsidR="00165B38" w:rsidRPr="00165B38" w:rsidRDefault="00165B38" w:rsidP="00165B38">
            <w:pPr>
              <w:contextualSpacing/>
              <w:rPr>
                <w:rFonts w:ascii="Calibri" w:eastAsia="Times New Roman" w:hAnsi="Calibri" w:cs="Calibri"/>
                <w:b/>
                <w:color w:val="1E1E1E"/>
                <w:u w:val="single"/>
                <w:lang w:eastAsia="en-GB"/>
              </w:rPr>
            </w:pPr>
            <w:r w:rsidRPr="00165B38">
              <w:rPr>
                <w:rFonts w:ascii="Calibri" w:eastAsia="Times New Roman" w:hAnsi="Calibri" w:cs="Calibri"/>
                <w:b/>
                <w:color w:val="1E1E1E"/>
                <w:u w:val="single"/>
                <w:lang w:eastAsia="en-GB"/>
              </w:rPr>
              <w:t xml:space="preserve"> Special Conditions</w:t>
            </w:r>
          </w:p>
          <w:p w14:paraId="6829FB4E" w14:textId="77777777" w:rsidR="00165B38" w:rsidRPr="00165B38" w:rsidRDefault="00165B38" w:rsidP="00165B38">
            <w:pPr>
              <w:ind w:left="423"/>
              <w:contextualSpacing/>
              <w:rPr>
                <w:rFonts w:ascii="Calibri" w:eastAsia="Times New Roman" w:hAnsi="Calibri" w:cs="Calibri"/>
                <w:b/>
                <w:color w:val="1E1E1E"/>
                <w:u w:val="single"/>
                <w:lang w:eastAsia="en-GB"/>
              </w:rPr>
            </w:pPr>
          </w:p>
          <w:p w14:paraId="2D9AC3BE" w14:textId="77777777" w:rsidR="00165B38" w:rsidRPr="00165B38" w:rsidRDefault="00165B38" w:rsidP="00165B38">
            <w:pPr>
              <w:numPr>
                <w:ilvl w:val="0"/>
                <w:numId w:val="19"/>
              </w:numPr>
              <w:ind w:left="757"/>
              <w:contextualSpacing/>
              <w:rPr>
                <w:rFonts w:ascii="Calibri" w:eastAsia="Times New Roman" w:hAnsi="Calibri" w:cs="Calibri"/>
                <w:color w:val="1E1E1E"/>
                <w:lang w:eastAsia="en-GB"/>
              </w:rPr>
            </w:pPr>
            <w:r w:rsidRPr="00165B38">
              <w:rPr>
                <w:rFonts w:ascii="Calibri" w:eastAsia="Times New Roman" w:hAnsi="Calibri" w:cs="Calibri"/>
                <w:color w:val="1E1E1E"/>
                <w:lang w:eastAsia="en-GB"/>
              </w:rPr>
              <w:t>Ad Hoc / Out-of-Hours work during urgent / unforeseen business requirements.</w:t>
            </w:r>
          </w:p>
          <w:p w14:paraId="255412C9" w14:textId="77777777" w:rsidR="00165B38" w:rsidRPr="00165B38" w:rsidRDefault="00165B38" w:rsidP="00165B38">
            <w:pPr>
              <w:numPr>
                <w:ilvl w:val="0"/>
                <w:numId w:val="19"/>
              </w:numPr>
              <w:ind w:left="757"/>
              <w:contextualSpacing/>
              <w:rPr>
                <w:rFonts w:ascii="Calibri" w:eastAsia="Times New Roman" w:hAnsi="Calibri" w:cs="Calibri"/>
                <w:color w:val="1E1E1E"/>
                <w:lang w:eastAsia="en-GB"/>
              </w:rPr>
            </w:pPr>
            <w:r w:rsidRPr="00165B38">
              <w:rPr>
                <w:rFonts w:ascii="Calibri" w:eastAsia="Times New Roman" w:hAnsi="Calibri" w:cs="Calibri"/>
                <w:color w:val="1E1E1E"/>
                <w:lang w:eastAsia="en-GB"/>
              </w:rPr>
              <w:t>Domestic and International travel.</w:t>
            </w:r>
          </w:p>
          <w:p w14:paraId="25617CCB" w14:textId="77777777" w:rsidR="00165B38" w:rsidRPr="00165B38" w:rsidRDefault="00165B38" w:rsidP="00165B38">
            <w:pPr>
              <w:numPr>
                <w:ilvl w:val="0"/>
                <w:numId w:val="19"/>
              </w:numPr>
              <w:ind w:left="757"/>
              <w:contextualSpacing/>
              <w:rPr>
                <w:rFonts w:ascii="Calibri" w:eastAsia="Times New Roman" w:hAnsi="Calibri" w:cs="Calibri"/>
                <w:color w:val="1E1E1E"/>
                <w:lang w:eastAsia="en-GB"/>
              </w:rPr>
            </w:pPr>
            <w:r w:rsidRPr="00165B38">
              <w:rPr>
                <w:rFonts w:ascii="Calibri" w:eastAsia="Times New Roman" w:hAnsi="Calibri" w:cs="Calibri"/>
                <w:color w:val="1E1E1E"/>
                <w:lang w:eastAsia="en-GB"/>
              </w:rPr>
              <w:t xml:space="preserve">Any other reasonable duties which may requested that falls within the scope and/or capability of the incumbent. </w:t>
            </w:r>
          </w:p>
          <w:p w14:paraId="0B9C88C8" w14:textId="2167FE9D" w:rsidR="008B0C43" w:rsidRPr="008D621C" w:rsidRDefault="008B0C43" w:rsidP="008B0C43">
            <w:pPr>
              <w:pStyle w:val="ListParagraph"/>
              <w:rPr>
                <w:rFonts w:ascii="Tahoma" w:hAnsi="Tahoma" w:cs="Tahoma"/>
                <w:color w:val="1E1E1E"/>
                <w:sz w:val="20"/>
                <w:szCs w:val="20"/>
              </w:rPr>
            </w:pPr>
          </w:p>
        </w:tc>
      </w:tr>
      <w:tr w:rsidR="00A06A92" w:rsidRPr="00973A69" w14:paraId="67C4E19E" w14:textId="77777777" w:rsidTr="00165B38">
        <w:trPr>
          <w:trHeight w:val="454"/>
        </w:trPr>
        <w:tc>
          <w:tcPr>
            <w:tcW w:w="9016" w:type="dxa"/>
            <w:shd w:val="clear" w:color="auto" w:fill="A6A6A6" w:themeFill="background1" w:themeFillShade="A6"/>
            <w:vAlign w:val="center"/>
          </w:tcPr>
          <w:p w14:paraId="6773FD2F" w14:textId="77777777" w:rsidR="00A06A92" w:rsidRPr="00973A69" w:rsidRDefault="00A06A92" w:rsidP="000E42EA">
            <w:pPr>
              <w:pStyle w:val="Header"/>
              <w:rPr>
                <w:rFonts w:ascii="Tahoma" w:hAnsi="Tahoma" w:cs="Tahoma"/>
                <w:b/>
                <w:szCs w:val="28"/>
              </w:rPr>
            </w:pPr>
            <w:r w:rsidRPr="00973A69">
              <w:rPr>
                <w:rFonts w:ascii="Tahoma" w:hAnsi="Tahoma" w:cs="Tahoma"/>
                <w:b/>
                <w:szCs w:val="28"/>
              </w:rPr>
              <w:lastRenderedPageBreak/>
              <w:t>Core Competencies</w:t>
            </w:r>
          </w:p>
        </w:tc>
      </w:tr>
      <w:tr w:rsidR="002819A1" w:rsidRPr="00973A69" w14:paraId="7D0D68B6" w14:textId="77777777" w:rsidTr="008B0C43">
        <w:tc>
          <w:tcPr>
            <w:tcW w:w="9016" w:type="dxa"/>
            <w:vAlign w:val="center"/>
          </w:tcPr>
          <w:p w14:paraId="174C543C" w14:textId="77777777" w:rsidR="00165B38" w:rsidRPr="00165B38" w:rsidRDefault="00165B38" w:rsidP="00165B38">
            <w:pPr>
              <w:rPr>
                <w:rFonts w:ascii="Calibri" w:eastAsia="Times New Roman" w:hAnsi="Calibri" w:cs="Calibri"/>
                <w:b/>
                <w:bCs/>
                <w:color w:val="404040"/>
                <w:u w:val="single"/>
                <w:lang w:val="en" w:eastAsia="en-GB"/>
              </w:rPr>
            </w:pPr>
            <w:r w:rsidRPr="00165B38">
              <w:rPr>
                <w:rFonts w:ascii="Calibri" w:eastAsia="Times New Roman" w:hAnsi="Calibri" w:cs="Calibri"/>
                <w:b/>
                <w:bCs/>
                <w:color w:val="404040"/>
                <w:u w:val="single"/>
                <w:lang w:val="en" w:eastAsia="en-GB"/>
              </w:rPr>
              <w:t>Experience &amp; Qualifications</w:t>
            </w:r>
          </w:p>
          <w:p w14:paraId="66483EC9"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Recognised Apprenticeship or degree in Aeronautical / Electrical / Mechanical / Engineering– </w:t>
            </w:r>
            <w:r w:rsidRPr="00165B38">
              <w:rPr>
                <w:rFonts w:ascii="Calibri" w:eastAsia="Times New Roman" w:hAnsi="Calibri" w:cs="Calibri"/>
                <w:b/>
                <w:bCs/>
                <w:color w:val="404040"/>
                <w:lang w:val="en" w:eastAsia="en-GB"/>
              </w:rPr>
              <w:t xml:space="preserve">Required </w:t>
            </w:r>
          </w:p>
          <w:p w14:paraId="7C9D9FAC"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Established background in Aerospace Engineering, with a strong working knowledge and application of Civil Aviation Authority (CAA) regulatory requirements and the regulatory framework of the UK Defence (MAA) – </w:t>
            </w:r>
            <w:r w:rsidRPr="00165B38">
              <w:rPr>
                <w:rFonts w:ascii="Calibri" w:eastAsia="Times New Roman" w:hAnsi="Calibri" w:cs="Calibri"/>
                <w:b/>
                <w:bCs/>
                <w:color w:val="404040"/>
                <w:lang w:val="en" w:eastAsia="en-GB"/>
              </w:rPr>
              <w:t>Required.</w:t>
            </w:r>
          </w:p>
          <w:p w14:paraId="460396F3"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Experience of interfacing with an aircraft planning and task execution organisation to develop/deliver/monitor complex aircraft schedules, whilst interfacing with multi-disciplined teams to deliver the agreed output - </w:t>
            </w:r>
            <w:r w:rsidRPr="00165B38">
              <w:rPr>
                <w:rFonts w:ascii="Calibri" w:eastAsia="Times New Roman" w:hAnsi="Calibri" w:cs="Calibri"/>
                <w:b/>
                <w:bCs/>
                <w:color w:val="404040"/>
                <w:lang w:val="en" w:eastAsia="en-GB"/>
              </w:rPr>
              <w:t>Required</w:t>
            </w:r>
          </w:p>
          <w:p w14:paraId="12C2BFB9"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Ability to assimilate technical information and process to bring maximum effect in a short space of time – </w:t>
            </w:r>
            <w:r w:rsidRPr="00165B38">
              <w:rPr>
                <w:rFonts w:ascii="Calibri" w:eastAsia="Times New Roman" w:hAnsi="Calibri" w:cs="Calibri"/>
                <w:b/>
                <w:bCs/>
                <w:color w:val="404040"/>
                <w:lang w:val="en" w:eastAsia="en-GB"/>
              </w:rPr>
              <w:t>Required</w:t>
            </w:r>
          </w:p>
          <w:p w14:paraId="7BA3DFED" w14:textId="1A74DD9C" w:rsidR="00165B38" w:rsidRPr="00165B38" w:rsidRDefault="00165B38" w:rsidP="00165B38">
            <w:pPr>
              <w:numPr>
                <w:ilvl w:val="0"/>
                <w:numId w:val="20"/>
              </w:numPr>
              <w:ind w:left="680"/>
              <w:contextualSpacing/>
              <w:rPr>
                <w:rFonts w:ascii="Tahoma" w:eastAsia="Times New Roman" w:hAnsi="Tahoma" w:cs="Tahoma"/>
                <w:color w:val="404040"/>
                <w:lang w:val="en" w:eastAsia="en-GB"/>
              </w:rPr>
            </w:pPr>
            <w:r w:rsidRPr="00165B38">
              <w:rPr>
                <w:rFonts w:ascii="Calibri" w:eastAsia="Times New Roman" w:hAnsi="Calibri" w:cs="Calibri"/>
                <w:color w:val="404040"/>
                <w:lang w:val="en" w:eastAsia="en-GB"/>
              </w:rPr>
              <w:t xml:space="preserve">Practical application-level knowledge of ISO 9001, ISO 45001 &amp; ISO 14001 – </w:t>
            </w:r>
            <w:r w:rsidRPr="00165B38">
              <w:rPr>
                <w:rFonts w:ascii="Calibri" w:eastAsia="Times New Roman" w:hAnsi="Calibri" w:cs="Calibri"/>
                <w:b/>
                <w:bCs/>
                <w:color w:val="404040"/>
                <w:lang w:val="en" w:eastAsia="en-GB"/>
              </w:rPr>
              <w:t>Advantageous</w:t>
            </w:r>
          </w:p>
          <w:p w14:paraId="58D26FB2"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Ability to identify and understand technical issues, summarise key concerns and develop action plans addressing identified problem areas – </w:t>
            </w:r>
            <w:r w:rsidRPr="00165B38">
              <w:rPr>
                <w:rFonts w:ascii="Calibri" w:eastAsia="Times New Roman" w:hAnsi="Calibri" w:cs="Calibri"/>
                <w:b/>
                <w:bCs/>
                <w:color w:val="404040"/>
                <w:lang w:val="en" w:eastAsia="en-GB"/>
              </w:rPr>
              <w:t>Advantageous</w:t>
            </w:r>
          </w:p>
          <w:p w14:paraId="1C13EF62" w14:textId="77777777" w:rsidR="00165B38" w:rsidRPr="00165B38" w:rsidRDefault="00165B38" w:rsidP="00165B38">
            <w:pPr>
              <w:numPr>
                <w:ilvl w:val="0"/>
                <w:numId w:val="20"/>
              </w:numPr>
              <w:ind w:left="70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Demonstrable team management and integration skills with a desire to succeed, motivate others and inspire performance – </w:t>
            </w:r>
            <w:r w:rsidRPr="00165B38">
              <w:rPr>
                <w:rFonts w:ascii="Calibri" w:eastAsia="Times New Roman" w:hAnsi="Calibri" w:cs="Calibri"/>
                <w:b/>
                <w:bCs/>
                <w:color w:val="404040"/>
                <w:lang w:val="en" w:eastAsia="en-GB"/>
              </w:rPr>
              <w:t>Advantageous</w:t>
            </w:r>
          </w:p>
          <w:p w14:paraId="58E46029" w14:textId="1B76FEEE" w:rsidR="00165B38" w:rsidRPr="00165B38" w:rsidRDefault="00165B38" w:rsidP="00165B38">
            <w:pPr>
              <w:numPr>
                <w:ilvl w:val="0"/>
                <w:numId w:val="20"/>
              </w:numPr>
              <w:spacing w:after="0" w:line="240" w:lineRule="auto"/>
              <w:ind w:left="70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Project management experience </w:t>
            </w:r>
            <w:r w:rsidRPr="00165B38">
              <w:rPr>
                <w:rFonts w:ascii="Calibri" w:eastAsia="Times New Roman" w:hAnsi="Calibri" w:cs="Calibri"/>
                <w:color w:val="404040"/>
                <w:lang w:val="en" w:eastAsia="en-GB"/>
              </w:rPr>
              <w:t>–</w:t>
            </w:r>
            <w:r w:rsidRPr="00165B38">
              <w:rPr>
                <w:rFonts w:ascii="Calibri" w:eastAsia="Times New Roman" w:hAnsi="Calibri" w:cs="Calibri"/>
                <w:b/>
                <w:bCs/>
                <w:color w:val="404040"/>
                <w:lang w:val="en" w:eastAsia="en-GB"/>
              </w:rPr>
              <w:t xml:space="preserve"> Advantageous</w:t>
            </w:r>
          </w:p>
          <w:p w14:paraId="43D355C6" w14:textId="77777777" w:rsidR="00165B38" w:rsidRPr="00165B38" w:rsidRDefault="00165B38" w:rsidP="00165B38">
            <w:pPr>
              <w:numPr>
                <w:ilvl w:val="0"/>
                <w:numId w:val="20"/>
              </w:numPr>
              <w:spacing w:after="0" w:line="240" w:lineRule="auto"/>
              <w:ind w:left="700"/>
              <w:contextualSpacing/>
              <w:rPr>
                <w:rFonts w:ascii="Calibri" w:eastAsia="Times New Roman" w:hAnsi="Calibri" w:cs="Calibri"/>
                <w:b/>
                <w:bCs/>
                <w:color w:val="404040"/>
                <w:lang w:val="en" w:eastAsia="en-GB"/>
              </w:rPr>
            </w:pPr>
            <w:r w:rsidRPr="00165B38">
              <w:rPr>
                <w:rFonts w:ascii="Calibri" w:eastAsia="Times New Roman" w:hAnsi="Calibri" w:cs="Calibri"/>
                <w:color w:val="404040"/>
                <w:lang w:val="en" w:eastAsia="en-GB"/>
              </w:rPr>
              <w:t xml:space="preserve">Able to hold an SC-Level security clearance – </w:t>
            </w:r>
            <w:r w:rsidRPr="00165B38">
              <w:rPr>
                <w:rFonts w:ascii="Calibri" w:eastAsia="Times New Roman" w:hAnsi="Calibri" w:cs="Calibri"/>
                <w:b/>
                <w:bCs/>
                <w:color w:val="404040"/>
                <w:lang w:val="en" w:eastAsia="en-GB"/>
              </w:rPr>
              <w:t xml:space="preserve">Required </w:t>
            </w:r>
          </w:p>
          <w:p w14:paraId="1D8E583C" w14:textId="77777777" w:rsidR="00165B38" w:rsidRDefault="00165B38" w:rsidP="00165B38">
            <w:pPr>
              <w:ind w:left="680"/>
              <w:contextualSpacing/>
              <w:rPr>
                <w:rFonts w:ascii="Calibri" w:eastAsia="Times New Roman" w:hAnsi="Calibri" w:cs="Calibri"/>
                <w:color w:val="404040"/>
                <w:lang w:val="en" w:eastAsia="en-GB"/>
              </w:rPr>
            </w:pPr>
          </w:p>
          <w:p w14:paraId="00A5F2E1" w14:textId="77777777" w:rsidR="00165B38" w:rsidRDefault="00165B38" w:rsidP="00165B38">
            <w:pPr>
              <w:ind w:left="680"/>
              <w:contextualSpacing/>
              <w:rPr>
                <w:rFonts w:ascii="Calibri" w:eastAsia="Times New Roman" w:hAnsi="Calibri" w:cs="Calibri"/>
                <w:color w:val="404040"/>
                <w:lang w:val="en" w:eastAsia="en-GB"/>
              </w:rPr>
            </w:pPr>
          </w:p>
          <w:p w14:paraId="415574E2" w14:textId="77777777" w:rsidR="00165B38" w:rsidRDefault="00165B38" w:rsidP="00165B38">
            <w:pPr>
              <w:ind w:left="680"/>
              <w:contextualSpacing/>
              <w:rPr>
                <w:rFonts w:ascii="Calibri" w:eastAsia="Times New Roman" w:hAnsi="Calibri" w:cs="Calibri"/>
                <w:color w:val="404040"/>
                <w:lang w:val="en" w:eastAsia="en-GB"/>
              </w:rPr>
            </w:pPr>
          </w:p>
          <w:p w14:paraId="72C330E9" w14:textId="77777777" w:rsidR="00165B38" w:rsidRDefault="00165B38" w:rsidP="00165B38">
            <w:pPr>
              <w:ind w:left="680"/>
              <w:contextualSpacing/>
              <w:rPr>
                <w:rFonts w:ascii="Calibri" w:eastAsia="Times New Roman" w:hAnsi="Calibri" w:cs="Calibri"/>
                <w:color w:val="404040"/>
                <w:lang w:val="en" w:eastAsia="en-GB"/>
              </w:rPr>
            </w:pPr>
          </w:p>
          <w:p w14:paraId="78DBBE53" w14:textId="77777777" w:rsidR="00165B38" w:rsidRPr="00165B38" w:rsidRDefault="00165B38" w:rsidP="00165B38">
            <w:pPr>
              <w:rPr>
                <w:rFonts w:ascii="Calibri" w:eastAsia="Times New Roman" w:hAnsi="Calibri" w:cs="Calibri"/>
                <w:b/>
                <w:bCs/>
                <w:color w:val="404040"/>
                <w:u w:val="single"/>
                <w:lang w:val="en" w:eastAsia="en-GB"/>
              </w:rPr>
            </w:pPr>
            <w:r w:rsidRPr="00165B38">
              <w:rPr>
                <w:rFonts w:ascii="Calibri" w:eastAsia="Times New Roman" w:hAnsi="Calibri" w:cs="Calibri"/>
                <w:b/>
                <w:bCs/>
                <w:color w:val="404040"/>
                <w:u w:val="single"/>
                <w:lang w:val="en" w:eastAsia="en-GB"/>
              </w:rPr>
              <w:lastRenderedPageBreak/>
              <w:t>Personal Skill &amp; Attributes</w:t>
            </w:r>
          </w:p>
          <w:p w14:paraId="21216FC3"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Strong interpersonal skills, able to build strong working relationships with customers and peers.</w:t>
            </w:r>
          </w:p>
          <w:p w14:paraId="1AC95E30"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Problem solver, capable of working with a diverse team in the delivery of innovative solutions.</w:t>
            </w:r>
          </w:p>
          <w:p w14:paraId="3A2F22D1"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Able to develop and deliver effective presentations.</w:t>
            </w:r>
          </w:p>
          <w:p w14:paraId="3D577B6D"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Excellent Communication – written and verbal at a local level and with the customer.</w:t>
            </w:r>
          </w:p>
          <w:p w14:paraId="6026D3B8"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Commercially astute.</w:t>
            </w:r>
          </w:p>
          <w:p w14:paraId="4C9532DA"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 xml:space="preserve">Always maintaining compliance against all applicable Aviation Regulatory and International Standard requirements </w:t>
            </w:r>
          </w:p>
          <w:p w14:paraId="12CCBC73"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Integrity and honesty.</w:t>
            </w:r>
          </w:p>
          <w:p w14:paraId="536646CB"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Energy, Drive and Staying Power; maintains personal motivation over the long haul.</w:t>
            </w:r>
          </w:p>
          <w:p w14:paraId="15B6AA5F"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Courage; able to make difficult decisions.</w:t>
            </w:r>
          </w:p>
          <w:p w14:paraId="1BB2C313" w14:textId="77777777" w:rsidR="00165B38" w:rsidRPr="00165B38" w:rsidRDefault="00165B38" w:rsidP="00165B38">
            <w:pPr>
              <w:numPr>
                <w:ilvl w:val="0"/>
                <w:numId w:val="20"/>
              </w:numPr>
              <w:ind w:left="680"/>
              <w:contextualSpacing/>
              <w:rPr>
                <w:rFonts w:ascii="Calibri" w:eastAsia="Times New Roman" w:hAnsi="Calibri" w:cs="Calibri"/>
                <w:color w:val="404040"/>
                <w:lang w:val="en" w:eastAsia="en-GB"/>
              </w:rPr>
            </w:pPr>
            <w:r w:rsidRPr="00165B38">
              <w:rPr>
                <w:rFonts w:ascii="Calibri" w:eastAsia="Times New Roman" w:hAnsi="Calibri" w:cs="Calibri"/>
                <w:color w:val="404040"/>
                <w:lang w:val="en" w:eastAsia="en-GB"/>
              </w:rPr>
              <w:t>A demonstrated capability of managing business controls; that effectively maintain the integrity of the Work/Cost Breakdown Structure and Schedule.</w:t>
            </w:r>
          </w:p>
          <w:p w14:paraId="33F26B19" w14:textId="77777777" w:rsidR="00165B38" w:rsidRPr="00165B38" w:rsidRDefault="00165B38" w:rsidP="00165B38">
            <w:pPr>
              <w:numPr>
                <w:ilvl w:val="0"/>
                <w:numId w:val="20"/>
              </w:numPr>
              <w:ind w:left="680"/>
              <w:contextualSpacing/>
              <w:rPr>
                <w:rFonts w:ascii="Arial" w:eastAsia="Times New Roman" w:hAnsi="Arial" w:cs="Tahoma"/>
                <w:color w:val="404040"/>
                <w:sz w:val="24"/>
                <w:lang w:val="en" w:eastAsia="en-GB"/>
              </w:rPr>
            </w:pPr>
            <w:r w:rsidRPr="00165B38">
              <w:rPr>
                <w:rFonts w:ascii="Calibri" w:eastAsia="Times New Roman" w:hAnsi="Calibri" w:cs="Calibri"/>
                <w:color w:val="404040"/>
                <w:lang w:val="en" w:eastAsia="en-GB"/>
              </w:rPr>
              <w:t>Experience of effective management of business processes using Evaluation techniques.</w:t>
            </w:r>
          </w:p>
          <w:p w14:paraId="7FCD2B91" w14:textId="4B87BCD7" w:rsidR="002944E2" w:rsidRPr="00165B38" w:rsidRDefault="002944E2" w:rsidP="002944E2">
            <w:pPr>
              <w:pStyle w:val="ListParagraph"/>
              <w:ind w:left="783"/>
              <w:rPr>
                <w:rFonts w:ascii="Tahoma" w:hAnsi="Tahoma" w:cs="Tahoma"/>
                <w:color w:val="1E1E1E"/>
                <w:sz w:val="20"/>
                <w:szCs w:val="20"/>
                <w:lang w:val="en"/>
              </w:rPr>
            </w:pPr>
          </w:p>
        </w:tc>
      </w:tr>
    </w:tbl>
    <w:p w14:paraId="067704E2" w14:textId="77777777" w:rsidR="00A06A92" w:rsidRPr="00973A69" w:rsidRDefault="00A06A92" w:rsidP="001562CA">
      <w:pPr>
        <w:pStyle w:val="NoSpacing"/>
        <w:rPr>
          <w:rFonts w:ascii="Tahoma" w:hAnsi="Tahoma" w:cs="Tahoma"/>
        </w:rPr>
      </w:pPr>
    </w:p>
    <w:tbl>
      <w:tblPr>
        <w:tblStyle w:val="TableGrid"/>
        <w:tblW w:w="0" w:type="auto"/>
        <w:tblInd w:w="-5" w:type="dxa"/>
        <w:tblLook w:val="04A0" w:firstRow="1" w:lastRow="0" w:firstColumn="1" w:lastColumn="0" w:noHBand="0" w:noVBand="1"/>
      </w:tblPr>
      <w:tblGrid>
        <w:gridCol w:w="1271"/>
        <w:gridCol w:w="3827"/>
        <w:gridCol w:w="851"/>
        <w:gridCol w:w="3067"/>
      </w:tblGrid>
      <w:tr w:rsidR="001562CA" w:rsidRPr="00973A69" w14:paraId="516A16E7" w14:textId="77777777" w:rsidTr="00165B38">
        <w:trPr>
          <w:trHeight w:val="454"/>
        </w:trPr>
        <w:tc>
          <w:tcPr>
            <w:tcW w:w="9016" w:type="dxa"/>
            <w:gridSpan w:val="4"/>
            <w:tcBorders>
              <w:bottom w:val="single" w:sz="4" w:space="0" w:color="auto"/>
            </w:tcBorders>
            <w:shd w:val="clear" w:color="auto" w:fill="A6A6A6" w:themeFill="background1" w:themeFillShade="A6"/>
            <w:vAlign w:val="center"/>
          </w:tcPr>
          <w:p w14:paraId="1F0301D5" w14:textId="77777777" w:rsidR="001562CA" w:rsidRPr="00973A69" w:rsidRDefault="004147C0" w:rsidP="000E42EA">
            <w:pPr>
              <w:pStyle w:val="Header"/>
              <w:rPr>
                <w:rFonts w:ascii="Tahoma" w:hAnsi="Tahoma" w:cs="Tahoma"/>
                <w:b/>
                <w:szCs w:val="28"/>
              </w:rPr>
            </w:pPr>
            <w:r w:rsidRPr="00973A69">
              <w:rPr>
                <w:rFonts w:ascii="Tahoma" w:hAnsi="Tahoma" w:cs="Tahoma"/>
                <w:b/>
                <w:szCs w:val="28"/>
              </w:rPr>
              <w:t>Key Measures</w:t>
            </w:r>
          </w:p>
        </w:tc>
      </w:tr>
      <w:tr w:rsidR="002819A1" w:rsidRPr="00973A69" w14:paraId="2F7128CC" w14:textId="77777777" w:rsidTr="00DC1F41">
        <w:tc>
          <w:tcPr>
            <w:tcW w:w="9016" w:type="dxa"/>
            <w:gridSpan w:val="4"/>
            <w:tcBorders>
              <w:top w:val="single" w:sz="4" w:space="0" w:color="auto"/>
              <w:left w:val="single" w:sz="4" w:space="0" w:color="auto"/>
              <w:bottom w:val="single" w:sz="4" w:space="0" w:color="auto"/>
              <w:right w:val="single" w:sz="4" w:space="0" w:color="auto"/>
            </w:tcBorders>
            <w:vAlign w:val="center"/>
          </w:tcPr>
          <w:p w14:paraId="4C27A3F9" w14:textId="77777777" w:rsidR="002819A1" w:rsidRPr="00973A69" w:rsidRDefault="002819A1" w:rsidP="002819A1">
            <w:pPr>
              <w:rPr>
                <w:rFonts w:ascii="Tahoma" w:hAnsi="Tahoma" w:cs="Tahoma"/>
                <w:color w:val="1E1E1E"/>
                <w:sz w:val="20"/>
                <w:szCs w:val="20"/>
                <w:u w:val="single"/>
              </w:rPr>
            </w:pPr>
          </w:p>
          <w:p w14:paraId="078DB428" w14:textId="77777777" w:rsidR="00165B38" w:rsidRPr="00165B38" w:rsidRDefault="00165B38" w:rsidP="00165B38">
            <w:pPr>
              <w:numPr>
                <w:ilvl w:val="0"/>
                <w:numId w:val="21"/>
              </w:numPr>
              <w:contextualSpacing/>
              <w:rPr>
                <w:rFonts w:ascii="Calibri" w:eastAsia="Times New Roman" w:hAnsi="Calibri" w:cs="Calibri"/>
                <w:lang w:val="en-US" w:eastAsia="en-GB"/>
              </w:rPr>
            </w:pPr>
            <w:r w:rsidRPr="00165B38">
              <w:rPr>
                <w:rFonts w:ascii="Calibri" w:eastAsia="Times New Roman" w:hAnsi="Calibri" w:cs="Calibri"/>
                <w:lang w:val="en-US" w:eastAsia="en-GB"/>
              </w:rPr>
              <w:t>Achievement of Contract applicable Key Performance Indicators (KPI)</w:t>
            </w:r>
          </w:p>
          <w:p w14:paraId="6245079E" w14:textId="77777777" w:rsidR="00165B38" w:rsidRPr="00165B38" w:rsidRDefault="00165B38" w:rsidP="00165B38">
            <w:pPr>
              <w:numPr>
                <w:ilvl w:val="0"/>
                <w:numId w:val="21"/>
              </w:numPr>
              <w:contextualSpacing/>
              <w:rPr>
                <w:rFonts w:ascii="Calibri" w:eastAsia="Times New Roman" w:hAnsi="Calibri" w:cs="Calibri"/>
                <w:lang w:val="en-US" w:eastAsia="en-GB"/>
              </w:rPr>
            </w:pPr>
            <w:r w:rsidRPr="00165B38">
              <w:rPr>
                <w:rFonts w:ascii="Calibri" w:eastAsia="Times New Roman" w:hAnsi="Calibri" w:cs="Calibri"/>
                <w:lang w:val="en-US" w:eastAsia="en-GB"/>
              </w:rPr>
              <w:t>Achievement of Contract applicable Reward Performance Indicators (RPI)</w:t>
            </w:r>
          </w:p>
          <w:p w14:paraId="500A1FC2" w14:textId="0D42353B" w:rsidR="002944E2" w:rsidRPr="00165B38" w:rsidRDefault="00165B38" w:rsidP="00165B38">
            <w:pPr>
              <w:pStyle w:val="ListParagraph"/>
              <w:numPr>
                <w:ilvl w:val="0"/>
                <w:numId w:val="21"/>
              </w:numPr>
              <w:rPr>
                <w:rFonts w:ascii="Tahoma" w:hAnsi="Tahoma" w:cs="Tahoma"/>
                <w:color w:val="1E1E1E"/>
                <w:sz w:val="22"/>
                <w:szCs w:val="22"/>
                <w:u w:val="single"/>
              </w:rPr>
            </w:pPr>
            <w:r w:rsidRPr="00165B38">
              <w:rPr>
                <w:rFonts w:ascii="Calibri" w:hAnsi="Calibri" w:cs="Calibri"/>
                <w:sz w:val="22"/>
                <w:szCs w:val="22"/>
                <w:lang w:val="en-US"/>
              </w:rPr>
              <w:t>Delivery of key contracted data and document in accordance with Contracted Document Delivery List (CDRL)</w:t>
            </w:r>
            <w:r w:rsidRPr="00165B38">
              <w:rPr>
                <w:rFonts w:ascii="Tahoma" w:hAnsi="Tahoma" w:cs="Tahoma"/>
                <w:sz w:val="22"/>
                <w:szCs w:val="22"/>
                <w:lang w:val="en-US"/>
              </w:rPr>
              <w:t xml:space="preserve"> </w:t>
            </w:r>
          </w:p>
        </w:tc>
      </w:tr>
      <w:tr w:rsidR="005E516B" w:rsidRPr="00973A69" w14:paraId="0E2283FD" w14:textId="77777777" w:rsidTr="00DC1F41">
        <w:tc>
          <w:tcPr>
            <w:tcW w:w="9016" w:type="dxa"/>
            <w:gridSpan w:val="4"/>
            <w:tcBorders>
              <w:top w:val="single" w:sz="4" w:space="0" w:color="auto"/>
              <w:left w:val="nil"/>
              <w:bottom w:val="nil"/>
              <w:right w:val="nil"/>
            </w:tcBorders>
            <w:vAlign w:val="center"/>
          </w:tcPr>
          <w:p w14:paraId="2336F35A" w14:textId="5F41E714" w:rsidR="002944E2" w:rsidRPr="00973A69" w:rsidRDefault="002944E2" w:rsidP="00F24516">
            <w:pPr>
              <w:rPr>
                <w:rFonts w:ascii="Tahoma" w:hAnsi="Tahoma" w:cs="Tahoma"/>
                <w:color w:val="1E1E1E"/>
                <w:sz w:val="20"/>
                <w:szCs w:val="20"/>
                <w:u w:val="single"/>
              </w:rPr>
            </w:pPr>
          </w:p>
        </w:tc>
      </w:tr>
      <w:tr w:rsidR="007C2AE0" w:rsidRPr="00973A69" w14:paraId="4AFF49BD" w14:textId="77777777" w:rsidTr="005E5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vAlign w:val="center"/>
          </w:tcPr>
          <w:p w14:paraId="5D2E2E8A"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Job Holder:</w:t>
            </w:r>
          </w:p>
        </w:tc>
        <w:tc>
          <w:tcPr>
            <w:tcW w:w="3827" w:type="dxa"/>
            <w:vAlign w:val="center"/>
          </w:tcPr>
          <w:p w14:paraId="4FBC55B9"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_________________________________</w:t>
            </w:r>
          </w:p>
        </w:tc>
        <w:tc>
          <w:tcPr>
            <w:tcW w:w="851" w:type="dxa"/>
            <w:vAlign w:val="center"/>
          </w:tcPr>
          <w:p w14:paraId="07318223"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Sign:</w:t>
            </w:r>
          </w:p>
        </w:tc>
        <w:tc>
          <w:tcPr>
            <w:tcW w:w="3067" w:type="dxa"/>
            <w:vAlign w:val="center"/>
          </w:tcPr>
          <w:p w14:paraId="115A29B9"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__________________________</w:t>
            </w:r>
          </w:p>
        </w:tc>
      </w:tr>
      <w:tr w:rsidR="007C2AE0" w:rsidRPr="00973A69" w14:paraId="455723C0" w14:textId="77777777" w:rsidTr="005E5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vAlign w:val="center"/>
          </w:tcPr>
          <w:p w14:paraId="3EBCC5F4"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Manager:</w:t>
            </w:r>
          </w:p>
        </w:tc>
        <w:tc>
          <w:tcPr>
            <w:tcW w:w="3827" w:type="dxa"/>
            <w:vAlign w:val="center"/>
          </w:tcPr>
          <w:p w14:paraId="6B0309DD"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_________________________________</w:t>
            </w:r>
          </w:p>
        </w:tc>
        <w:tc>
          <w:tcPr>
            <w:tcW w:w="851" w:type="dxa"/>
            <w:vAlign w:val="center"/>
          </w:tcPr>
          <w:p w14:paraId="6E9E5686"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Sign:</w:t>
            </w:r>
          </w:p>
        </w:tc>
        <w:tc>
          <w:tcPr>
            <w:tcW w:w="3067" w:type="dxa"/>
            <w:vAlign w:val="center"/>
          </w:tcPr>
          <w:p w14:paraId="4B6A3A9B"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__________________________</w:t>
            </w:r>
          </w:p>
        </w:tc>
      </w:tr>
      <w:tr w:rsidR="007C2AE0" w:rsidRPr="00973A69" w14:paraId="1619D12E" w14:textId="77777777" w:rsidTr="005E5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271" w:type="dxa"/>
            <w:vAlign w:val="center"/>
          </w:tcPr>
          <w:p w14:paraId="3B03559E"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Date:</w:t>
            </w:r>
          </w:p>
        </w:tc>
        <w:tc>
          <w:tcPr>
            <w:tcW w:w="3827" w:type="dxa"/>
            <w:vAlign w:val="center"/>
          </w:tcPr>
          <w:p w14:paraId="09F85236" w14:textId="77777777" w:rsidR="007C2AE0" w:rsidRPr="00973A69" w:rsidRDefault="007C2AE0" w:rsidP="007C2AE0">
            <w:pPr>
              <w:rPr>
                <w:rFonts w:ascii="Tahoma" w:hAnsi="Tahoma" w:cs="Tahoma"/>
                <w:color w:val="1E1E1E"/>
                <w:sz w:val="20"/>
                <w:szCs w:val="20"/>
                <w:u w:val="single"/>
              </w:rPr>
            </w:pPr>
            <w:r w:rsidRPr="00973A69">
              <w:rPr>
                <w:rFonts w:ascii="Tahoma" w:hAnsi="Tahoma" w:cs="Tahoma"/>
                <w:color w:val="1E1E1E"/>
                <w:sz w:val="20"/>
                <w:szCs w:val="20"/>
                <w:u w:val="single"/>
              </w:rPr>
              <w:t>_________________________________</w:t>
            </w:r>
          </w:p>
        </w:tc>
        <w:tc>
          <w:tcPr>
            <w:tcW w:w="851" w:type="dxa"/>
            <w:vAlign w:val="center"/>
          </w:tcPr>
          <w:p w14:paraId="1676A3DB" w14:textId="77777777" w:rsidR="007C2AE0" w:rsidRPr="00973A69" w:rsidRDefault="007C2AE0" w:rsidP="007C2AE0">
            <w:pPr>
              <w:rPr>
                <w:rFonts w:ascii="Tahoma" w:hAnsi="Tahoma" w:cs="Tahoma"/>
                <w:color w:val="1E1E1E"/>
                <w:sz w:val="20"/>
                <w:szCs w:val="20"/>
                <w:u w:val="single"/>
              </w:rPr>
            </w:pPr>
          </w:p>
        </w:tc>
        <w:tc>
          <w:tcPr>
            <w:tcW w:w="3067" w:type="dxa"/>
            <w:vAlign w:val="center"/>
          </w:tcPr>
          <w:p w14:paraId="6078D1E9" w14:textId="77777777" w:rsidR="007C2AE0" w:rsidRPr="00973A69" w:rsidRDefault="007C2AE0" w:rsidP="007C2AE0">
            <w:pPr>
              <w:rPr>
                <w:rFonts w:ascii="Tahoma" w:hAnsi="Tahoma" w:cs="Tahoma"/>
                <w:color w:val="1E1E1E"/>
                <w:sz w:val="20"/>
                <w:szCs w:val="20"/>
                <w:u w:val="single"/>
              </w:rPr>
            </w:pPr>
          </w:p>
        </w:tc>
      </w:tr>
    </w:tbl>
    <w:p w14:paraId="777A9D03" w14:textId="77777777" w:rsidR="001562CA" w:rsidRDefault="001562CA" w:rsidP="003741BF">
      <w:pPr>
        <w:rPr>
          <w:rFonts w:ascii="Tahoma" w:hAnsi="Tahoma" w:cs="Tahoma"/>
        </w:rPr>
      </w:pPr>
    </w:p>
    <w:p w14:paraId="20E2CF5B" w14:textId="77777777" w:rsidR="00165B38" w:rsidRDefault="00165B38" w:rsidP="003741BF">
      <w:pPr>
        <w:rPr>
          <w:rFonts w:ascii="Tahoma" w:hAnsi="Tahoma" w:cs="Tahoma"/>
        </w:rPr>
      </w:pPr>
    </w:p>
    <w:p w14:paraId="155ABC0B" w14:textId="77777777" w:rsidR="00165B38" w:rsidRDefault="00165B38" w:rsidP="003741BF">
      <w:pPr>
        <w:rPr>
          <w:rFonts w:ascii="Tahoma" w:hAnsi="Tahoma" w:cs="Tahoma"/>
        </w:rPr>
      </w:pPr>
    </w:p>
    <w:p w14:paraId="17F64937" w14:textId="77777777" w:rsidR="00165B38" w:rsidRDefault="00165B38" w:rsidP="003741BF">
      <w:pPr>
        <w:rPr>
          <w:rFonts w:ascii="Tahoma" w:hAnsi="Tahoma" w:cs="Tahoma"/>
        </w:rPr>
      </w:pPr>
    </w:p>
    <w:p w14:paraId="2A0069F4" w14:textId="77777777" w:rsidR="00165B38" w:rsidRDefault="00165B38" w:rsidP="003741BF">
      <w:pPr>
        <w:rPr>
          <w:rFonts w:ascii="Tahoma" w:hAnsi="Tahoma" w:cs="Tahoma"/>
        </w:rPr>
      </w:pPr>
    </w:p>
    <w:p w14:paraId="6BE36A30" w14:textId="77777777" w:rsidR="00165B38" w:rsidRDefault="00165B38" w:rsidP="003741BF">
      <w:pPr>
        <w:rPr>
          <w:rFonts w:ascii="Tahoma" w:hAnsi="Tahoma" w:cs="Tahoma"/>
        </w:rPr>
      </w:pPr>
    </w:p>
    <w:p w14:paraId="1EEB0AD9" w14:textId="77777777" w:rsidR="00165B38" w:rsidRDefault="00165B38" w:rsidP="003741BF">
      <w:pPr>
        <w:rPr>
          <w:rFonts w:ascii="Tahoma" w:hAnsi="Tahoma" w:cs="Tahoma"/>
        </w:rPr>
      </w:pPr>
    </w:p>
    <w:p w14:paraId="76C257D7" w14:textId="77777777" w:rsidR="00165B38" w:rsidRDefault="00165B38" w:rsidP="003741BF">
      <w:pPr>
        <w:rPr>
          <w:rFonts w:ascii="Tahoma" w:hAnsi="Tahoma" w:cs="Tahoma"/>
        </w:rPr>
      </w:pPr>
    </w:p>
    <w:p w14:paraId="4EAADD48" w14:textId="77777777" w:rsidR="00165B38" w:rsidRDefault="00165B38" w:rsidP="003741BF">
      <w:pPr>
        <w:rPr>
          <w:rFonts w:ascii="Tahoma" w:hAnsi="Tahoma" w:cs="Tahoma"/>
        </w:rPr>
      </w:pPr>
    </w:p>
    <w:p w14:paraId="296A1830" w14:textId="77777777" w:rsidR="00165B38" w:rsidRDefault="00165B38" w:rsidP="003741BF">
      <w:pPr>
        <w:rPr>
          <w:rFonts w:ascii="Tahoma" w:hAnsi="Tahoma" w:cs="Tahoma"/>
        </w:rPr>
      </w:pPr>
    </w:p>
    <w:p w14:paraId="26C4DD7B" w14:textId="77777777" w:rsidR="00165B38" w:rsidRDefault="00165B38" w:rsidP="003741BF">
      <w:pPr>
        <w:rPr>
          <w:rFonts w:ascii="Tahoma" w:hAnsi="Tahoma" w:cs="Tahoma"/>
        </w:rPr>
      </w:pPr>
    </w:p>
    <w:p w14:paraId="4330C723" w14:textId="77777777" w:rsidR="00165B38" w:rsidRDefault="00165B38" w:rsidP="003741BF">
      <w:pPr>
        <w:rPr>
          <w:rFonts w:ascii="Tahoma" w:hAnsi="Tahoma" w:cs="Tahoma"/>
        </w:rPr>
      </w:pPr>
    </w:p>
    <w:p w14:paraId="54E39AF9" w14:textId="77777777" w:rsidR="00165B38" w:rsidRPr="00165B38" w:rsidRDefault="00165B38" w:rsidP="00165B38">
      <w:pPr>
        <w:tabs>
          <w:tab w:val="left" w:pos="1260"/>
          <w:tab w:val="right" w:pos="9356"/>
        </w:tabs>
        <w:spacing w:after="0" w:line="240" w:lineRule="auto"/>
        <w:rPr>
          <w:rFonts w:ascii="Tahoma" w:eastAsia="Times New Roman" w:hAnsi="Tahoma" w:cs="Tahoma"/>
          <w:u w:val="single"/>
          <w:lang w:eastAsia="en-GB"/>
        </w:rPr>
      </w:pPr>
      <w:r w:rsidRPr="00165B38">
        <w:rPr>
          <w:rFonts w:ascii="Tahoma" w:eastAsia="Times New Roman" w:hAnsi="Tahoma" w:cs="Tahoma"/>
          <w:u w:val="single"/>
          <w:lang w:eastAsia="en-GB"/>
        </w:rPr>
        <w:lastRenderedPageBreak/>
        <w:t>Annex A</w:t>
      </w:r>
    </w:p>
    <w:p w14:paraId="3ABD15B4" w14:textId="77777777" w:rsidR="00165B38" w:rsidRPr="00165B38" w:rsidRDefault="00165B38" w:rsidP="00165B38">
      <w:pPr>
        <w:tabs>
          <w:tab w:val="left" w:pos="1260"/>
          <w:tab w:val="right" w:pos="9356"/>
        </w:tabs>
        <w:spacing w:after="0" w:line="240" w:lineRule="auto"/>
        <w:jc w:val="center"/>
        <w:rPr>
          <w:rFonts w:ascii="Tahoma" w:eastAsia="Times New Roman" w:hAnsi="Tahoma" w:cs="Tahoma"/>
          <w:b/>
          <w:bCs/>
          <w:sz w:val="28"/>
          <w:szCs w:val="28"/>
          <w:u w:val="single"/>
          <w:lang w:eastAsia="en-GB"/>
        </w:rPr>
      </w:pPr>
    </w:p>
    <w:p w14:paraId="02F66CAA" w14:textId="77777777" w:rsidR="00165B38" w:rsidRPr="00165B38" w:rsidRDefault="00165B38" w:rsidP="00165B38">
      <w:pPr>
        <w:tabs>
          <w:tab w:val="left" w:pos="1260"/>
          <w:tab w:val="right" w:pos="9356"/>
        </w:tabs>
        <w:spacing w:after="0" w:line="240" w:lineRule="auto"/>
        <w:jc w:val="center"/>
        <w:rPr>
          <w:rFonts w:ascii="Tahoma" w:eastAsia="Times New Roman" w:hAnsi="Tahoma" w:cs="Tahoma"/>
          <w:b/>
          <w:bCs/>
          <w:sz w:val="28"/>
          <w:szCs w:val="28"/>
          <w:u w:val="single"/>
          <w:lang w:eastAsia="en-GB"/>
        </w:rPr>
      </w:pPr>
      <w:r w:rsidRPr="00165B38">
        <w:rPr>
          <w:rFonts w:ascii="Tahoma" w:eastAsia="Times New Roman" w:hAnsi="Tahoma" w:cs="Tahoma"/>
          <w:b/>
          <w:bCs/>
          <w:sz w:val="28"/>
          <w:szCs w:val="28"/>
          <w:u w:val="single"/>
          <w:lang w:eastAsia="en-GB"/>
        </w:rPr>
        <w:t>Org chart</w:t>
      </w:r>
    </w:p>
    <w:p w14:paraId="2D8AF897" w14:textId="77777777" w:rsidR="00165B38" w:rsidRDefault="00165B38" w:rsidP="003741BF">
      <w:pPr>
        <w:rPr>
          <w:rFonts w:ascii="Tahoma" w:hAnsi="Tahoma" w:cs="Tahoma"/>
        </w:rPr>
      </w:pPr>
    </w:p>
    <w:p w14:paraId="6DEF86F5" w14:textId="7BFC4EA3" w:rsidR="00165B38" w:rsidRPr="00973A69" w:rsidRDefault="00165B38" w:rsidP="003741BF">
      <w:pPr>
        <w:rPr>
          <w:rFonts w:ascii="Tahoma" w:hAnsi="Tahoma" w:cs="Tahoma"/>
        </w:rPr>
      </w:pPr>
      <w:r w:rsidRPr="00165B38">
        <w:rPr>
          <w:rFonts w:ascii="Tahoma" w:eastAsia="Times New Roman" w:hAnsi="Tahoma" w:cs="Times New Roman"/>
          <w:szCs w:val="24"/>
          <w:lang w:eastAsia="en-GB"/>
        </w:rPr>
        <w:object w:dxaOrig="11061" w:dyaOrig="7421" w14:anchorId="19195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308.05pt" o:ole="">
            <v:imagedata r:id="rId7" o:title=""/>
          </v:shape>
          <o:OLEObject Type="Embed" ProgID="Visio.Drawing.15" ShapeID="_x0000_i1025" DrawAspect="Content" ObjectID="_1769255405" r:id="rId8"/>
        </w:object>
      </w:r>
    </w:p>
    <w:sectPr w:rsidR="00165B38" w:rsidRPr="00973A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A3E4" w14:textId="77777777" w:rsidR="00C27F88" w:rsidRDefault="00C27F88" w:rsidP="003741BF">
      <w:pPr>
        <w:spacing w:after="0" w:line="240" w:lineRule="auto"/>
      </w:pPr>
      <w:r>
        <w:separator/>
      </w:r>
    </w:p>
  </w:endnote>
  <w:endnote w:type="continuationSeparator" w:id="0">
    <w:p w14:paraId="614556D9" w14:textId="77777777" w:rsidR="00C27F88" w:rsidRDefault="00C27F88" w:rsidP="0037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4FE3" w14:textId="4540620E" w:rsidR="00165B38" w:rsidRDefault="00165B38">
    <w:pPr>
      <w:pStyle w:val="Footer"/>
      <w:jc w:val="center"/>
    </w:pPr>
    <w:sdt>
      <w:sdtPr>
        <w:id w:val="506099080"/>
        <w:docPartObj>
          <w:docPartGallery w:val="Page Numbers (Bottom of Page)"/>
          <w:docPartUnique/>
        </w:docPartObj>
      </w:sdtPr>
      <w:sdtContent>
        <w:sdt>
          <w:sdtPr>
            <w:id w:val="1728636285"/>
            <w:docPartObj>
              <w:docPartGallery w:val="Page Numbers (Top of Page)"/>
              <w:docPartUnique/>
            </w:docPartObj>
          </w:sdtPr>
          <w:sdtContent>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sdtContent>
        </w:sdt>
      </w:sdtContent>
    </w:sdt>
    <w:r w:rsidRPr="00165B38">
      <w:rPr>
        <w:rFonts w:ascii="Tahoma" w:hAnsi="Tahoma" w:cs="Tahoma"/>
        <w:sz w:val="20"/>
      </w:rPr>
      <w:t xml:space="preserve"> </w:t>
    </w:r>
    <w:r w:rsidRPr="003741BF">
      <w:rPr>
        <w:rFonts w:ascii="Tahoma" w:hAnsi="Tahoma" w:cs="Tahoma"/>
        <w:sz w:val="20"/>
      </w:rPr>
      <w:t>FRCA2900-</w:t>
    </w:r>
    <w:r>
      <w:rPr>
        <w:rFonts w:ascii="Tahoma" w:hAnsi="Tahoma" w:cs="Tahoma"/>
        <w:sz w:val="20"/>
      </w:rPr>
      <w:t>03</w:t>
    </w:r>
  </w:p>
  <w:p w14:paraId="5C4C6587" w14:textId="77777777" w:rsidR="000A2227" w:rsidRDefault="000A2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CCEE" w14:textId="77777777" w:rsidR="00C27F88" w:rsidRDefault="00C27F88" w:rsidP="003741BF">
      <w:pPr>
        <w:spacing w:after="0" w:line="240" w:lineRule="auto"/>
      </w:pPr>
      <w:r>
        <w:separator/>
      </w:r>
    </w:p>
  </w:footnote>
  <w:footnote w:type="continuationSeparator" w:id="0">
    <w:p w14:paraId="1DED3C6C" w14:textId="77777777" w:rsidR="00C27F88" w:rsidRDefault="00C27F88" w:rsidP="0037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AD3" w14:textId="1CE581C9" w:rsidR="000A2227" w:rsidRPr="003741BF" w:rsidRDefault="00165B38" w:rsidP="003741BF">
    <w:pPr>
      <w:pStyle w:val="Header"/>
      <w:jc w:val="right"/>
    </w:pPr>
    <w:r>
      <w:rPr>
        <w:noProof/>
      </w:rPr>
      <w:drawing>
        <wp:anchor distT="0" distB="0" distL="114300" distR="114300" simplePos="0" relativeHeight="251661312" behindDoc="1" locked="0" layoutInCell="1" allowOverlap="1" wp14:anchorId="2BB0BC9C" wp14:editId="3640762D">
          <wp:simplePos x="0" y="0"/>
          <wp:positionH relativeFrom="margin">
            <wp:posOffset>0</wp:posOffset>
          </wp:positionH>
          <wp:positionV relativeFrom="paragraph">
            <wp:posOffset>-635</wp:posOffset>
          </wp:positionV>
          <wp:extent cx="1476375" cy="333375"/>
          <wp:effectExtent l="0" t="0" r="9525" b="9525"/>
          <wp:wrapNone/>
          <wp:docPr id="1390797705" name="Picture 1390797705" descr="Draken_Logo_Black_RGB.jpg"/>
          <wp:cNvGraphicFramePr/>
          <a:graphic xmlns:a="http://schemas.openxmlformats.org/drawingml/2006/main">
            <a:graphicData uri="http://schemas.openxmlformats.org/drawingml/2006/picture">
              <pic:pic xmlns:pic="http://schemas.openxmlformats.org/drawingml/2006/picture">
                <pic:nvPicPr>
                  <pic:cNvPr id="17" name="Picture 17" descr="Draken_Logo_Black_RGB.jpg"/>
                  <pic:cNvPicPr/>
                </pic:nvPicPr>
                <pic:blipFill rotWithShape="1">
                  <a:blip r:embed="rId1" cstate="print">
                    <a:extLst>
                      <a:ext uri="{28A0092B-C50C-407E-A947-70E740481C1C}">
                        <a14:useLocalDpi xmlns:a14="http://schemas.microsoft.com/office/drawing/2010/main" val="0"/>
                      </a:ext>
                    </a:extLst>
                  </a:blip>
                  <a:srcRect l="12207" t="27959" r="12110" b="29490"/>
                  <a:stretch/>
                </pic:blipFill>
                <pic:spPr bwMode="auto">
                  <a:xfrm>
                    <a:off x="0" y="0"/>
                    <a:ext cx="1476375" cy="3333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7D13"/>
    <w:multiLevelType w:val="hybridMultilevel"/>
    <w:tmpl w:val="6F2A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51E52EF"/>
    <w:multiLevelType w:val="hybridMultilevel"/>
    <w:tmpl w:val="DC706E7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1E694A20"/>
    <w:multiLevelType w:val="hybridMultilevel"/>
    <w:tmpl w:val="F77E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24A98"/>
    <w:multiLevelType w:val="hybridMultilevel"/>
    <w:tmpl w:val="EFAC3A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CA273F5"/>
    <w:multiLevelType w:val="hybridMultilevel"/>
    <w:tmpl w:val="8116A194"/>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2F4E74E6"/>
    <w:multiLevelType w:val="hybridMultilevel"/>
    <w:tmpl w:val="C7AEE752"/>
    <w:lvl w:ilvl="0" w:tplc="C9BCEF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EB0F3B"/>
    <w:multiLevelType w:val="hybridMultilevel"/>
    <w:tmpl w:val="FC96B5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265720"/>
    <w:multiLevelType w:val="hybridMultilevel"/>
    <w:tmpl w:val="761A39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62064"/>
    <w:multiLevelType w:val="hybridMultilevel"/>
    <w:tmpl w:val="756659E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B450B"/>
    <w:multiLevelType w:val="hybridMultilevel"/>
    <w:tmpl w:val="07EA12A0"/>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078A1"/>
    <w:multiLevelType w:val="hybridMultilevel"/>
    <w:tmpl w:val="FEA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B1BA1"/>
    <w:multiLevelType w:val="hybridMultilevel"/>
    <w:tmpl w:val="5B50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E60D9"/>
    <w:multiLevelType w:val="hybridMultilevel"/>
    <w:tmpl w:val="B9B4A13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52DC7E02"/>
    <w:multiLevelType w:val="hybridMultilevel"/>
    <w:tmpl w:val="E34EE8CC"/>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532C7A33"/>
    <w:multiLevelType w:val="hybridMultilevel"/>
    <w:tmpl w:val="A4D0557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9">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096D"/>
    <w:multiLevelType w:val="hybridMultilevel"/>
    <w:tmpl w:val="7AE87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8310C46"/>
    <w:multiLevelType w:val="hybridMultilevel"/>
    <w:tmpl w:val="2A94C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F5DF2"/>
    <w:multiLevelType w:val="hybridMultilevel"/>
    <w:tmpl w:val="9430686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854CF"/>
    <w:multiLevelType w:val="hybridMultilevel"/>
    <w:tmpl w:val="B50E4926"/>
    <w:lvl w:ilvl="0" w:tplc="0809000B">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303143">
    <w:abstractNumId w:val="18"/>
  </w:num>
  <w:num w:numId="2" w16cid:durableId="2112894219">
    <w:abstractNumId w:val="16"/>
  </w:num>
  <w:num w:numId="3" w16cid:durableId="124928635">
    <w:abstractNumId w:val="6"/>
  </w:num>
  <w:num w:numId="4" w16cid:durableId="1749233901">
    <w:abstractNumId w:val="11"/>
  </w:num>
  <w:num w:numId="5" w16cid:durableId="171652077">
    <w:abstractNumId w:val="2"/>
  </w:num>
  <w:num w:numId="6" w16cid:durableId="1689327038">
    <w:abstractNumId w:val="15"/>
  </w:num>
  <w:num w:numId="7" w16cid:durableId="377894372">
    <w:abstractNumId w:val="13"/>
  </w:num>
  <w:num w:numId="8" w16cid:durableId="1732924675">
    <w:abstractNumId w:val="9"/>
  </w:num>
  <w:num w:numId="9" w16cid:durableId="1378889776">
    <w:abstractNumId w:val="10"/>
  </w:num>
  <w:num w:numId="10" w16cid:durableId="351804152">
    <w:abstractNumId w:val="19"/>
  </w:num>
  <w:num w:numId="11" w16cid:durableId="158276491">
    <w:abstractNumId w:val="7"/>
  </w:num>
  <w:num w:numId="12" w16cid:durableId="712341630">
    <w:abstractNumId w:val="4"/>
  </w:num>
  <w:num w:numId="13" w16cid:durableId="1112287873">
    <w:abstractNumId w:val="3"/>
  </w:num>
  <w:num w:numId="14" w16cid:durableId="254752246">
    <w:abstractNumId w:val="20"/>
  </w:num>
  <w:num w:numId="15" w16cid:durableId="1950233739">
    <w:abstractNumId w:val="8"/>
  </w:num>
  <w:num w:numId="16" w16cid:durableId="378093777">
    <w:abstractNumId w:val="12"/>
  </w:num>
  <w:num w:numId="17" w16cid:durableId="692919543">
    <w:abstractNumId w:val="5"/>
  </w:num>
  <w:num w:numId="18" w16cid:durableId="1077629849">
    <w:abstractNumId w:val="0"/>
  </w:num>
  <w:num w:numId="19" w16cid:durableId="782264115">
    <w:abstractNumId w:val="17"/>
  </w:num>
  <w:num w:numId="20" w16cid:durableId="1873377417">
    <w:abstractNumId w:val="1"/>
  </w:num>
  <w:num w:numId="21" w16cid:durableId="708337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BF"/>
    <w:rsid w:val="00001125"/>
    <w:rsid w:val="00001F90"/>
    <w:rsid w:val="000173A6"/>
    <w:rsid w:val="00030403"/>
    <w:rsid w:val="000408AF"/>
    <w:rsid w:val="00055AE9"/>
    <w:rsid w:val="00061621"/>
    <w:rsid w:val="0006270F"/>
    <w:rsid w:val="00074C74"/>
    <w:rsid w:val="00093629"/>
    <w:rsid w:val="000A2227"/>
    <w:rsid w:val="000B57D5"/>
    <w:rsid w:val="000C122D"/>
    <w:rsid w:val="000C4CA7"/>
    <w:rsid w:val="000D2E4B"/>
    <w:rsid w:val="000D583C"/>
    <w:rsid w:val="000E4A45"/>
    <w:rsid w:val="000F482F"/>
    <w:rsid w:val="000F6197"/>
    <w:rsid w:val="00105DBD"/>
    <w:rsid w:val="001155D3"/>
    <w:rsid w:val="00144F69"/>
    <w:rsid w:val="001536B6"/>
    <w:rsid w:val="001562CA"/>
    <w:rsid w:val="001614D0"/>
    <w:rsid w:val="00162679"/>
    <w:rsid w:val="00165501"/>
    <w:rsid w:val="00165B38"/>
    <w:rsid w:val="0017619E"/>
    <w:rsid w:val="00176F09"/>
    <w:rsid w:val="001A2453"/>
    <w:rsid w:val="001B038B"/>
    <w:rsid w:val="001B39A7"/>
    <w:rsid w:val="001C13FC"/>
    <w:rsid w:val="001C1FF8"/>
    <w:rsid w:val="001C507F"/>
    <w:rsid w:val="001D03D0"/>
    <w:rsid w:val="001D7FA5"/>
    <w:rsid w:val="001E642A"/>
    <w:rsid w:val="001E6837"/>
    <w:rsid w:val="001F6A0F"/>
    <w:rsid w:val="002043F9"/>
    <w:rsid w:val="0020448C"/>
    <w:rsid w:val="00205122"/>
    <w:rsid w:val="0020547B"/>
    <w:rsid w:val="00220D68"/>
    <w:rsid w:val="00225A3A"/>
    <w:rsid w:val="002351A3"/>
    <w:rsid w:val="00236AB5"/>
    <w:rsid w:val="002370FC"/>
    <w:rsid w:val="0024048B"/>
    <w:rsid w:val="002540E7"/>
    <w:rsid w:val="002614D7"/>
    <w:rsid w:val="002629C7"/>
    <w:rsid w:val="00280899"/>
    <w:rsid w:val="002813D2"/>
    <w:rsid w:val="002819A1"/>
    <w:rsid w:val="00281A78"/>
    <w:rsid w:val="00284377"/>
    <w:rsid w:val="002869AB"/>
    <w:rsid w:val="00287C22"/>
    <w:rsid w:val="002926BF"/>
    <w:rsid w:val="002944E2"/>
    <w:rsid w:val="002C5728"/>
    <w:rsid w:val="002D1C2A"/>
    <w:rsid w:val="002D2976"/>
    <w:rsid w:val="002E45C7"/>
    <w:rsid w:val="00301B4C"/>
    <w:rsid w:val="00314AD9"/>
    <w:rsid w:val="003276B4"/>
    <w:rsid w:val="00331B38"/>
    <w:rsid w:val="0033506D"/>
    <w:rsid w:val="00337CEB"/>
    <w:rsid w:val="003741BF"/>
    <w:rsid w:val="00376553"/>
    <w:rsid w:val="00391061"/>
    <w:rsid w:val="0039147B"/>
    <w:rsid w:val="0039702E"/>
    <w:rsid w:val="003A6AC1"/>
    <w:rsid w:val="003C52BD"/>
    <w:rsid w:val="003C5D4C"/>
    <w:rsid w:val="003C78A8"/>
    <w:rsid w:val="003D2FED"/>
    <w:rsid w:val="003E2179"/>
    <w:rsid w:val="003E2E0D"/>
    <w:rsid w:val="00401B75"/>
    <w:rsid w:val="00406DF2"/>
    <w:rsid w:val="00411C4A"/>
    <w:rsid w:val="0041355C"/>
    <w:rsid w:val="004147C0"/>
    <w:rsid w:val="004164B9"/>
    <w:rsid w:val="00424E29"/>
    <w:rsid w:val="004273D1"/>
    <w:rsid w:val="00437684"/>
    <w:rsid w:val="004519A2"/>
    <w:rsid w:val="00454289"/>
    <w:rsid w:val="00455838"/>
    <w:rsid w:val="00463F97"/>
    <w:rsid w:val="00464FFF"/>
    <w:rsid w:val="00484853"/>
    <w:rsid w:val="00484D98"/>
    <w:rsid w:val="00487CD2"/>
    <w:rsid w:val="004900DA"/>
    <w:rsid w:val="004B42F1"/>
    <w:rsid w:val="004B6638"/>
    <w:rsid w:val="004C6CDB"/>
    <w:rsid w:val="004C7199"/>
    <w:rsid w:val="005078BB"/>
    <w:rsid w:val="00507D0B"/>
    <w:rsid w:val="0051180F"/>
    <w:rsid w:val="0051577A"/>
    <w:rsid w:val="0052734A"/>
    <w:rsid w:val="00550D21"/>
    <w:rsid w:val="00550E7F"/>
    <w:rsid w:val="00552C5E"/>
    <w:rsid w:val="005544A1"/>
    <w:rsid w:val="00561D57"/>
    <w:rsid w:val="00564372"/>
    <w:rsid w:val="00585AC9"/>
    <w:rsid w:val="005903F2"/>
    <w:rsid w:val="00590DF5"/>
    <w:rsid w:val="005A292F"/>
    <w:rsid w:val="005C3E4A"/>
    <w:rsid w:val="005E3364"/>
    <w:rsid w:val="005E516B"/>
    <w:rsid w:val="005E6D43"/>
    <w:rsid w:val="005F1561"/>
    <w:rsid w:val="00606790"/>
    <w:rsid w:val="00613C42"/>
    <w:rsid w:val="00615626"/>
    <w:rsid w:val="00616390"/>
    <w:rsid w:val="00620428"/>
    <w:rsid w:val="006205AC"/>
    <w:rsid w:val="00621268"/>
    <w:rsid w:val="006225B0"/>
    <w:rsid w:val="00637DC8"/>
    <w:rsid w:val="006448C3"/>
    <w:rsid w:val="0064567D"/>
    <w:rsid w:val="00670C5D"/>
    <w:rsid w:val="00684C59"/>
    <w:rsid w:val="00692B7E"/>
    <w:rsid w:val="006C446A"/>
    <w:rsid w:val="006D35C9"/>
    <w:rsid w:val="006D37EC"/>
    <w:rsid w:val="006E18B9"/>
    <w:rsid w:val="006F4128"/>
    <w:rsid w:val="00707656"/>
    <w:rsid w:val="00710D26"/>
    <w:rsid w:val="007174FF"/>
    <w:rsid w:val="00721FA1"/>
    <w:rsid w:val="007231FA"/>
    <w:rsid w:val="007268D5"/>
    <w:rsid w:val="007505C4"/>
    <w:rsid w:val="00750C7D"/>
    <w:rsid w:val="00751672"/>
    <w:rsid w:val="0075659F"/>
    <w:rsid w:val="0076202A"/>
    <w:rsid w:val="0077117D"/>
    <w:rsid w:val="0077125A"/>
    <w:rsid w:val="0077491A"/>
    <w:rsid w:val="007846D9"/>
    <w:rsid w:val="00786F8E"/>
    <w:rsid w:val="00795B7E"/>
    <w:rsid w:val="00795CA5"/>
    <w:rsid w:val="00797541"/>
    <w:rsid w:val="007A2C7E"/>
    <w:rsid w:val="007A6345"/>
    <w:rsid w:val="007A71CD"/>
    <w:rsid w:val="007B1DD4"/>
    <w:rsid w:val="007C2AE0"/>
    <w:rsid w:val="007C4ACA"/>
    <w:rsid w:val="007D1C19"/>
    <w:rsid w:val="007D46AA"/>
    <w:rsid w:val="007E2889"/>
    <w:rsid w:val="007F2F6E"/>
    <w:rsid w:val="0080797F"/>
    <w:rsid w:val="008100CE"/>
    <w:rsid w:val="0081235E"/>
    <w:rsid w:val="0081605E"/>
    <w:rsid w:val="00826973"/>
    <w:rsid w:val="008276B8"/>
    <w:rsid w:val="00843F59"/>
    <w:rsid w:val="00844968"/>
    <w:rsid w:val="00847729"/>
    <w:rsid w:val="0085645D"/>
    <w:rsid w:val="00861296"/>
    <w:rsid w:val="008709AB"/>
    <w:rsid w:val="0087274B"/>
    <w:rsid w:val="0087554A"/>
    <w:rsid w:val="008774DE"/>
    <w:rsid w:val="0089288C"/>
    <w:rsid w:val="008A176C"/>
    <w:rsid w:val="008A2C01"/>
    <w:rsid w:val="008B0C43"/>
    <w:rsid w:val="008B71AE"/>
    <w:rsid w:val="008C008F"/>
    <w:rsid w:val="008C2092"/>
    <w:rsid w:val="008C2E9A"/>
    <w:rsid w:val="008C56FB"/>
    <w:rsid w:val="008D4A65"/>
    <w:rsid w:val="008D621C"/>
    <w:rsid w:val="008F4C7B"/>
    <w:rsid w:val="0090434C"/>
    <w:rsid w:val="009271B6"/>
    <w:rsid w:val="00933530"/>
    <w:rsid w:val="00933D3C"/>
    <w:rsid w:val="00936299"/>
    <w:rsid w:val="00936D5B"/>
    <w:rsid w:val="00940F70"/>
    <w:rsid w:val="009427FC"/>
    <w:rsid w:val="00943F2A"/>
    <w:rsid w:val="009449BE"/>
    <w:rsid w:val="00946E39"/>
    <w:rsid w:val="009612C1"/>
    <w:rsid w:val="00973A69"/>
    <w:rsid w:val="00981ACD"/>
    <w:rsid w:val="00981E72"/>
    <w:rsid w:val="009828BE"/>
    <w:rsid w:val="00984658"/>
    <w:rsid w:val="00984C83"/>
    <w:rsid w:val="00993E68"/>
    <w:rsid w:val="009A2BCF"/>
    <w:rsid w:val="009A74CA"/>
    <w:rsid w:val="009B4AFE"/>
    <w:rsid w:val="009D060E"/>
    <w:rsid w:val="009F055D"/>
    <w:rsid w:val="00A00D5E"/>
    <w:rsid w:val="00A06A92"/>
    <w:rsid w:val="00A13E42"/>
    <w:rsid w:val="00A340D3"/>
    <w:rsid w:val="00A34CA7"/>
    <w:rsid w:val="00A36EE7"/>
    <w:rsid w:val="00A438EB"/>
    <w:rsid w:val="00A500B9"/>
    <w:rsid w:val="00A5611D"/>
    <w:rsid w:val="00A61381"/>
    <w:rsid w:val="00A62800"/>
    <w:rsid w:val="00A65774"/>
    <w:rsid w:val="00A65E6A"/>
    <w:rsid w:val="00A833E4"/>
    <w:rsid w:val="00AA3A73"/>
    <w:rsid w:val="00AB1AAD"/>
    <w:rsid w:val="00AB1BDB"/>
    <w:rsid w:val="00AB50F7"/>
    <w:rsid w:val="00AB7B16"/>
    <w:rsid w:val="00AD2BFD"/>
    <w:rsid w:val="00AD5B09"/>
    <w:rsid w:val="00AE73F5"/>
    <w:rsid w:val="00AE743A"/>
    <w:rsid w:val="00AF4E32"/>
    <w:rsid w:val="00B0694A"/>
    <w:rsid w:val="00B34964"/>
    <w:rsid w:val="00B43FD1"/>
    <w:rsid w:val="00B6188F"/>
    <w:rsid w:val="00B65F2D"/>
    <w:rsid w:val="00B67649"/>
    <w:rsid w:val="00B712AD"/>
    <w:rsid w:val="00B90BE6"/>
    <w:rsid w:val="00B91F55"/>
    <w:rsid w:val="00BC0C2E"/>
    <w:rsid w:val="00BD27E3"/>
    <w:rsid w:val="00BD3CEE"/>
    <w:rsid w:val="00BE0642"/>
    <w:rsid w:val="00BE08A1"/>
    <w:rsid w:val="00BE1BB4"/>
    <w:rsid w:val="00BE537A"/>
    <w:rsid w:val="00BE5A79"/>
    <w:rsid w:val="00BE77D6"/>
    <w:rsid w:val="00BF6309"/>
    <w:rsid w:val="00BF7484"/>
    <w:rsid w:val="00C06304"/>
    <w:rsid w:val="00C0636D"/>
    <w:rsid w:val="00C07112"/>
    <w:rsid w:val="00C17DC6"/>
    <w:rsid w:val="00C22C02"/>
    <w:rsid w:val="00C235EA"/>
    <w:rsid w:val="00C26C49"/>
    <w:rsid w:val="00C27F88"/>
    <w:rsid w:val="00C43F47"/>
    <w:rsid w:val="00C45438"/>
    <w:rsid w:val="00C478DF"/>
    <w:rsid w:val="00C50642"/>
    <w:rsid w:val="00C5426C"/>
    <w:rsid w:val="00C61B0B"/>
    <w:rsid w:val="00C63BB3"/>
    <w:rsid w:val="00C6716E"/>
    <w:rsid w:val="00C748B9"/>
    <w:rsid w:val="00C77F75"/>
    <w:rsid w:val="00C83A36"/>
    <w:rsid w:val="00C86AF3"/>
    <w:rsid w:val="00C876C5"/>
    <w:rsid w:val="00C90FCA"/>
    <w:rsid w:val="00C93023"/>
    <w:rsid w:val="00C965BC"/>
    <w:rsid w:val="00CA5FA2"/>
    <w:rsid w:val="00CD053C"/>
    <w:rsid w:val="00CD0C0F"/>
    <w:rsid w:val="00CD18FF"/>
    <w:rsid w:val="00CD6408"/>
    <w:rsid w:val="00CD7D55"/>
    <w:rsid w:val="00CE7F7F"/>
    <w:rsid w:val="00CF03F1"/>
    <w:rsid w:val="00CF609C"/>
    <w:rsid w:val="00D03647"/>
    <w:rsid w:val="00D136B9"/>
    <w:rsid w:val="00D276A7"/>
    <w:rsid w:val="00D329B5"/>
    <w:rsid w:val="00D33B86"/>
    <w:rsid w:val="00D37AC2"/>
    <w:rsid w:val="00D40BA3"/>
    <w:rsid w:val="00D41094"/>
    <w:rsid w:val="00D438F8"/>
    <w:rsid w:val="00D541A4"/>
    <w:rsid w:val="00D544D5"/>
    <w:rsid w:val="00D5723B"/>
    <w:rsid w:val="00D9715B"/>
    <w:rsid w:val="00D97995"/>
    <w:rsid w:val="00DA0F83"/>
    <w:rsid w:val="00DA2FCD"/>
    <w:rsid w:val="00DA471F"/>
    <w:rsid w:val="00DB7AC6"/>
    <w:rsid w:val="00DC1F41"/>
    <w:rsid w:val="00DE0239"/>
    <w:rsid w:val="00DE5F57"/>
    <w:rsid w:val="00DE6BD2"/>
    <w:rsid w:val="00E14B6A"/>
    <w:rsid w:val="00E1607C"/>
    <w:rsid w:val="00E341CF"/>
    <w:rsid w:val="00E40248"/>
    <w:rsid w:val="00E4167E"/>
    <w:rsid w:val="00E45D13"/>
    <w:rsid w:val="00E50F5D"/>
    <w:rsid w:val="00E623DE"/>
    <w:rsid w:val="00E62938"/>
    <w:rsid w:val="00E74FB9"/>
    <w:rsid w:val="00E825D4"/>
    <w:rsid w:val="00E84263"/>
    <w:rsid w:val="00EB19EE"/>
    <w:rsid w:val="00EB4B0E"/>
    <w:rsid w:val="00EB7805"/>
    <w:rsid w:val="00EC37D1"/>
    <w:rsid w:val="00ED6766"/>
    <w:rsid w:val="00EE0A39"/>
    <w:rsid w:val="00EF59D5"/>
    <w:rsid w:val="00F24516"/>
    <w:rsid w:val="00F2697A"/>
    <w:rsid w:val="00F343D2"/>
    <w:rsid w:val="00F34D1B"/>
    <w:rsid w:val="00F4491C"/>
    <w:rsid w:val="00F517EB"/>
    <w:rsid w:val="00F52551"/>
    <w:rsid w:val="00F52787"/>
    <w:rsid w:val="00F73490"/>
    <w:rsid w:val="00F77090"/>
    <w:rsid w:val="00F86EDA"/>
    <w:rsid w:val="00F872A3"/>
    <w:rsid w:val="00F94DC4"/>
    <w:rsid w:val="00FA4CC7"/>
    <w:rsid w:val="00FB67A2"/>
    <w:rsid w:val="00FB7E83"/>
    <w:rsid w:val="00FC2672"/>
    <w:rsid w:val="00FC26CB"/>
    <w:rsid w:val="00FD0432"/>
    <w:rsid w:val="00FD458C"/>
    <w:rsid w:val="00FE5BC7"/>
    <w:rsid w:val="00FE7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0FA666"/>
  <w15:chartTrackingRefBased/>
  <w15:docId w15:val="{90DAFAD1-319B-4025-978D-F8386147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41BF"/>
    <w:pPr>
      <w:tabs>
        <w:tab w:val="center" w:pos="4513"/>
        <w:tab w:val="right" w:pos="9026"/>
      </w:tabs>
      <w:spacing w:after="0" w:line="240" w:lineRule="auto"/>
    </w:pPr>
  </w:style>
  <w:style w:type="character" w:customStyle="1" w:styleId="HeaderChar">
    <w:name w:val="Header Char"/>
    <w:basedOn w:val="DefaultParagraphFont"/>
    <w:link w:val="Header"/>
    <w:rsid w:val="003741BF"/>
  </w:style>
  <w:style w:type="paragraph" w:styleId="Footer">
    <w:name w:val="footer"/>
    <w:basedOn w:val="Normal"/>
    <w:link w:val="FooterChar"/>
    <w:uiPriority w:val="99"/>
    <w:unhideWhenUsed/>
    <w:rsid w:val="00374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1BF"/>
  </w:style>
  <w:style w:type="table" w:styleId="TableGrid">
    <w:name w:val="Table Grid"/>
    <w:basedOn w:val="TableNormal"/>
    <w:rsid w:val="0037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41BF"/>
    <w:pPr>
      <w:spacing w:after="0" w:line="240" w:lineRule="auto"/>
    </w:pPr>
  </w:style>
  <w:style w:type="paragraph" w:styleId="ListParagraph">
    <w:name w:val="List Paragraph"/>
    <w:basedOn w:val="Normal"/>
    <w:uiPriority w:val="34"/>
    <w:qFormat/>
    <w:rsid w:val="00E4167E"/>
    <w:pPr>
      <w:spacing w:after="0" w:line="240" w:lineRule="auto"/>
      <w:ind w:left="720"/>
      <w:contextualSpacing/>
    </w:pPr>
    <w:rPr>
      <w:rFonts w:ascii="Arial" w:eastAsia="Times New Roman" w:hAnsi="Arial" w:cs="Times New Roman"/>
      <w:sz w:val="24"/>
      <w:szCs w:val="24"/>
      <w:lang w:eastAsia="en-GB"/>
    </w:rPr>
  </w:style>
  <w:style w:type="character" w:customStyle="1" w:styleId="titles">
    <w:name w:val="titles"/>
    <w:basedOn w:val="DefaultParagraphFont"/>
    <w:rsid w:val="00F24516"/>
  </w:style>
  <w:style w:type="character" w:styleId="Hyperlink">
    <w:name w:val="Hyperlink"/>
    <w:basedOn w:val="DefaultParagraphFont"/>
    <w:rsid w:val="00D37AC2"/>
    <w:rPr>
      <w:rFonts w:ascii="Verdana" w:hAnsi="Verdana" w:hint="default"/>
      <w:strike w:val="0"/>
      <w:dstrike w:val="0"/>
      <w:color w:val="002992"/>
      <w:sz w:val="17"/>
      <w:szCs w:val="17"/>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Toit, Jaco</dc:creator>
  <cp:keywords/>
  <dc:description/>
  <cp:lastModifiedBy>D'Andilly, Wayne</cp:lastModifiedBy>
  <cp:revision>2</cp:revision>
  <dcterms:created xsi:type="dcterms:W3CDTF">2024-02-12T15:04:00Z</dcterms:created>
  <dcterms:modified xsi:type="dcterms:W3CDTF">2024-02-12T15:04:00Z</dcterms:modified>
</cp:coreProperties>
</file>