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C5DA" w14:textId="4858E2B0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9C4886" w:rsidRPr="00844E46">
        <w:rPr>
          <w:rFonts w:ascii="Arial" w:hAnsi="Arial" w:cs="Arial"/>
          <w:b/>
          <w:szCs w:val="28"/>
        </w:rPr>
        <w:t xml:space="preserve"> </w:t>
      </w:r>
      <w:r w:rsidR="00D13A93">
        <w:rPr>
          <w:rFonts w:ascii="Arial" w:hAnsi="Arial" w:cs="Arial"/>
          <w:b/>
          <w:szCs w:val="28"/>
        </w:rPr>
        <w:t xml:space="preserve">Junior / </w:t>
      </w:r>
      <w:r w:rsidR="00EB6457">
        <w:rPr>
          <w:rFonts w:ascii="Arial" w:hAnsi="Arial" w:cs="Arial"/>
          <w:b/>
          <w:szCs w:val="28"/>
        </w:rPr>
        <w:t xml:space="preserve">Graduate </w:t>
      </w:r>
      <w:r w:rsidR="00E64C18">
        <w:rPr>
          <w:rFonts w:ascii="Arial" w:hAnsi="Arial" w:cs="Arial"/>
          <w:b/>
          <w:szCs w:val="28"/>
        </w:rPr>
        <w:t>Compliance Engineer – Technical</w:t>
      </w:r>
    </w:p>
    <w:p w14:paraId="215FEEA0" w14:textId="77777777" w:rsidR="00D339D4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p w14:paraId="70A97C38" w14:textId="77777777" w:rsidR="00F615A9" w:rsidRPr="00844E46" w:rsidRDefault="00F615A9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C2EFF" w:rsidRPr="00844E46" w14:paraId="3D72FE15" w14:textId="77777777" w:rsidTr="00B8008B">
        <w:trPr>
          <w:jc w:val="center"/>
        </w:trPr>
        <w:tc>
          <w:tcPr>
            <w:tcW w:w="9498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B8008B">
        <w:trPr>
          <w:jc w:val="center"/>
        </w:trPr>
        <w:tc>
          <w:tcPr>
            <w:tcW w:w="9498" w:type="dxa"/>
          </w:tcPr>
          <w:p w14:paraId="16739FEB" w14:textId="77777777" w:rsidR="004E3095" w:rsidRDefault="004E3095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80D4F" w14:textId="7E78C06B" w:rsidR="004425E7" w:rsidRPr="00844E46" w:rsidRDefault="00E64C18" w:rsidP="00442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F6EEA">
              <w:rPr>
                <w:rFonts w:ascii="Arial" w:hAnsi="Arial" w:cs="Arial"/>
                <w:sz w:val="20"/>
                <w:szCs w:val="20"/>
              </w:rPr>
              <w:t xml:space="preserve">Junior / </w:t>
            </w:r>
            <w:r w:rsidR="00EB6457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>
              <w:rPr>
                <w:rFonts w:ascii="Arial" w:hAnsi="Arial" w:cs="Arial"/>
                <w:sz w:val="20"/>
                <w:szCs w:val="20"/>
              </w:rPr>
              <w:t>Compliance Engineer – Technical - is directly responsible to t</w:t>
            </w:r>
            <w:r w:rsidR="004E3095"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Compliance Manager for ensuring continued accreditation to the requisite Aviation Regulations, allowing successful delivery of Customer requirements while also providing technical, regulatory and international standards </w:t>
            </w:r>
            <w:r w:rsidR="00F615A9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all areas of Draken Europe.</w:t>
            </w:r>
          </w:p>
          <w:p w14:paraId="05E36B0A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286"/>
        <w:gridCol w:w="2295"/>
        <w:gridCol w:w="2462"/>
      </w:tblGrid>
      <w:tr w:rsidR="007C2EFF" w:rsidRPr="00844E46" w14:paraId="37FEDD36" w14:textId="77777777" w:rsidTr="00B8008B">
        <w:trPr>
          <w:jc w:val="center"/>
        </w:trPr>
        <w:tc>
          <w:tcPr>
            <w:tcW w:w="2455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286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295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462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8008B">
        <w:trPr>
          <w:jc w:val="center"/>
        </w:trPr>
        <w:tc>
          <w:tcPr>
            <w:tcW w:w="2455" w:type="dxa"/>
          </w:tcPr>
          <w:p w14:paraId="47793FA0" w14:textId="31912B57" w:rsidR="007C2EFF" w:rsidRPr="00844E46" w:rsidRDefault="00E64C18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Manager</w:t>
            </w:r>
          </w:p>
        </w:tc>
        <w:tc>
          <w:tcPr>
            <w:tcW w:w="2286" w:type="dxa"/>
          </w:tcPr>
          <w:p w14:paraId="118AC341" w14:textId="1B4F45A9" w:rsidR="00BE77FF" w:rsidRPr="00844E46" w:rsidRDefault="00E64C18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295" w:type="dxa"/>
          </w:tcPr>
          <w:p w14:paraId="13715E32" w14:textId="79FA4BD1" w:rsidR="00BE77FF" w:rsidRPr="00844E46" w:rsidRDefault="00E64C18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applicable </w:t>
            </w:r>
          </w:p>
        </w:tc>
        <w:tc>
          <w:tcPr>
            <w:tcW w:w="2462" w:type="dxa"/>
          </w:tcPr>
          <w:p w14:paraId="7F3765DF" w14:textId="2BA14309" w:rsidR="00BE77FF" w:rsidRPr="00844E46" w:rsidRDefault="00E64C18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7C2EFF" w:rsidRPr="00844E46" w14:paraId="52A5AFB2" w14:textId="77777777" w:rsidTr="00B8008B">
        <w:trPr>
          <w:jc w:val="center"/>
        </w:trPr>
        <w:tc>
          <w:tcPr>
            <w:tcW w:w="9493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B8008B">
        <w:trPr>
          <w:jc w:val="center"/>
        </w:trPr>
        <w:tc>
          <w:tcPr>
            <w:tcW w:w="9493" w:type="dxa"/>
          </w:tcPr>
          <w:p w14:paraId="39523022" w14:textId="77777777" w:rsidR="00C737B5" w:rsidRPr="00844E46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210D547B" w14:textId="39310E43" w:rsidR="009C1A72" w:rsidRPr="000719D5" w:rsidRDefault="009C1A72" w:rsidP="000719D5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1E1E1E"/>
                <w:sz w:val="20"/>
                <w:szCs w:val="20"/>
              </w:rPr>
            </w:pPr>
            <w:r w:rsidRPr="000719D5">
              <w:rPr>
                <w:rFonts w:cs="Arial"/>
                <w:color w:val="1E1E1E"/>
                <w:sz w:val="20"/>
                <w:szCs w:val="20"/>
              </w:rPr>
              <w:t xml:space="preserve">Safety first. Operate at </w:t>
            </w:r>
            <w:r w:rsidR="00AB1F58" w:rsidRPr="000719D5">
              <w:rPr>
                <w:rFonts w:cs="Arial"/>
                <w:color w:val="1E1E1E"/>
                <w:sz w:val="20"/>
                <w:szCs w:val="20"/>
              </w:rPr>
              <w:t>Draken Europe</w:t>
            </w:r>
            <w:r w:rsidRPr="000719D5">
              <w:rPr>
                <w:rFonts w:cs="Arial"/>
                <w:color w:val="1E1E1E"/>
                <w:sz w:val="20"/>
                <w:szCs w:val="20"/>
              </w:rPr>
              <w:t xml:space="preserve"> in accordance with the SHE standards. Identify where the SHE </w:t>
            </w:r>
            <w:r w:rsidR="0075564E">
              <w:rPr>
                <w:rFonts w:cs="Arial"/>
                <w:color w:val="1E1E1E"/>
                <w:sz w:val="20"/>
                <w:szCs w:val="20"/>
              </w:rPr>
              <w:t>s</w:t>
            </w:r>
            <w:r w:rsidRPr="000719D5">
              <w:rPr>
                <w:rFonts w:cs="Arial"/>
                <w:color w:val="1E1E1E"/>
                <w:sz w:val="20"/>
                <w:szCs w:val="20"/>
              </w:rPr>
              <w:t>tandards are applicable to appointed operations/tasks and apply safe systems of work identified.</w:t>
            </w:r>
          </w:p>
          <w:p w14:paraId="176EBB24" w14:textId="77777777" w:rsidR="009C1A72" w:rsidRPr="00844E46" w:rsidRDefault="009C1A72" w:rsidP="002D17DE">
            <w:pPr>
              <w:ind w:left="1440"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0E0E205C" w14:textId="77777777" w:rsidR="009C1A72" w:rsidRPr="000719D5" w:rsidRDefault="009C1A72" w:rsidP="000719D5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1E1E1E"/>
                <w:sz w:val="20"/>
                <w:szCs w:val="20"/>
              </w:rPr>
            </w:pPr>
            <w:r w:rsidRPr="000719D5">
              <w:rPr>
                <w:rFonts w:cs="Arial"/>
                <w:color w:val="1E1E1E"/>
                <w:sz w:val="20"/>
                <w:szCs w:val="20"/>
              </w:rPr>
              <w:t>Apply countermeasures identified in applicable risk assessment to appointed operations/tasks.</w:t>
            </w:r>
          </w:p>
          <w:p w14:paraId="38693B2D" w14:textId="77777777" w:rsidR="004425E7" w:rsidRPr="00844E46" w:rsidRDefault="004425E7" w:rsidP="00C73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A1D095" w14:textId="16BBB46D" w:rsidR="000719D5" w:rsidRPr="000719D5" w:rsidRDefault="00E045AC" w:rsidP="000719D5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0719D5">
              <w:rPr>
                <w:rFonts w:cs="Arial"/>
                <w:b/>
                <w:bCs/>
                <w:sz w:val="20"/>
                <w:szCs w:val="20"/>
                <w:lang w:val="en-US"/>
              </w:rPr>
              <w:t>Compliance Assurance</w:t>
            </w:r>
          </w:p>
          <w:p w14:paraId="722529A6" w14:textId="77777777" w:rsidR="000719D5" w:rsidRPr="000719D5" w:rsidRDefault="000719D5" w:rsidP="000719D5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250E2793" w14:textId="0764D044" w:rsidR="002B617D" w:rsidRPr="002B617D" w:rsidRDefault="00F615A9" w:rsidP="002B617D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Assisting in</w:t>
            </w:r>
            <w:r w:rsidR="00E045AC" w:rsidRPr="00E045AC">
              <w:rPr>
                <w:rFonts w:cs="Arial"/>
                <w:sz w:val="20"/>
                <w:szCs w:val="20"/>
                <w:lang w:val="en-US"/>
              </w:rPr>
              <w:t xml:space="preserve"> Compliance assurance and monitoring for all technical capabilities in accordance with:</w:t>
            </w:r>
          </w:p>
          <w:p w14:paraId="30A8C7EF" w14:textId="77777777" w:rsidR="00E045AC" w:rsidRPr="00E045AC" w:rsidRDefault="00E045AC" w:rsidP="00E045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1DC9AC" w14:textId="3B1A4B70" w:rsidR="00E045AC" w:rsidRDefault="00E045AC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UK Part M / Part CAMO</w:t>
            </w:r>
          </w:p>
          <w:p w14:paraId="7ACCEBA3" w14:textId="6503F60D" w:rsidR="00E045AC" w:rsidRDefault="00E045AC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UK Part 21 Sub Part G</w:t>
            </w:r>
          </w:p>
          <w:p w14:paraId="64033F04" w14:textId="31A69079" w:rsidR="00E045AC" w:rsidRDefault="00E045AC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UK Part 145</w:t>
            </w:r>
          </w:p>
          <w:p w14:paraId="5E013551" w14:textId="18B18B95" w:rsidR="00E045AC" w:rsidRDefault="00E045AC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MRP 145</w:t>
            </w:r>
          </w:p>
          <w:p w14:paraId="14F82E39" w14:textId="14ADAC55" w:rsidR="00E045AC" w:rsidRDefault="00E045AC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UK Part 147</w:t>
            </w:r>
          </w:p>
          <w:p w14:paraId="65B8FCFD" w14:textId="6CEA88EC" w:rsidR="00E045AC" w:rsidRDefault="00E045AC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EASA Part 147</w:t>
            </w:r>
          </w:p>
          <w:p w14:paraId="7C93B620" w14:textId="7EF1F98B" w:rsidR="00373502" w:rsidRDefault="00373502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BCAR A8-23 </w:t>
            </w:r>
          </w:p>
          <w:p w14:paraId="23FF35B2" w14:textId="77360DE0" w:rsidR="00373502" w:rsidRPr="00E045AC" w:rsidRDefault="00373502" w:rsidP="00E045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BCAR A8-25</w:t>
            </w:r>
          </w:p>
          <w:p w14:paraId="4167EE1E" w14:textId="77777777" w:rsidR="00E045AC" w:rsidRDefault="00E045AC" w:rsidP="00C73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DAFF80" w14:textId="3CAF2DE8" w:rsidR="001B7571" w:rsidRPr="001B7571" w:rsidRDefault="001B7571" w:rsidP="001B7571">
            <w:p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0F6EEA">
              <w:rPr>
                <w:rFonts w:cs="Arial"/>
                <w:sz w:val="20"/>
                <w:szCs w:val="20"/>
                <w:lang w:val="en-US"/>
              </w:rPr>
              <w:t xml:space="preserve">Junior / </w:t>
            </w:r>
            <w:r w:rsidR="00EB6457">
              <w:rPr>
                <w:rFonts w:cs="Arial"/>
                <w:sz w:val="20"/>
                <w:szCs w:val="20"/>
                <w:lang w:val="en-US"/>
              </w:rPr>
              <w:t>Graduate</w:t>
            </w:r>
            <w:r w:rsidRPr="001B7571">
              <w:rPr>
                <w:rFonts w:cs="Arial"/>
                <w:sz w:val="20"/>
                <w:szCs w:val="20"/>
                <w:lang w:val="en-US"/>
              </w:rPr>
              <w:t xml:space="preserve"> Compliance Engineer – Technical will support the Compliance team with activities including: </w:t>
            </w:r>
          </w:p>
          <w:p w14:paraId="3888A6D8" w14:textId="77777777" w:rsidR="001B7571" w:rsidRPr="001B7571" w:rsidRDefault="001B7571" w:rsidP="00D237DC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  <w:p w14:paraId="6D758209" w14:textId="77777777" w:rsidR="001B7571" w:rsidRPr="001B7571" w:rsidRDefault="001B7571" w:rsidP="001B757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 xml:space="preserve">Internal and External compliance audits. </w:t>
            </w:r>
          </w:p>
          <w:p w14:paraId="500A7DBE" w14:textId="77777777" w:rsidR="001B7571" w:rsidRPr="001B7571" w:rsidRDefault="001B7571" w:rsidP="001B757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>Processing non-conformances raised from audits.</w:t>
            </w:r>
          </w:p>
          <w:p w14:paraId="3D86C035" w14:textId="77777777" w:rsidR="001B7571" w:rsidRPr="001B7571" w:rsidRDefault="001B7571" w:rsidP="001B757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>Maintaining the personnel authorisation system.</w:t>
            </w:r>
          </w:p>
          <w:p w14:paraId="75889774" w14:textId="77777777" w:rsidR="001B7571" w:rsidRPr="001B7571" w:rsidRDefault="001B7571" w:rsidP="001B757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>Maintaining the company component capability list.</w:t>
            </w:r>
          </w:p>
          <w:p w14:paraId="1427340E" w14:textId="77777777" w:rsidR="001B7571" w:rsidRPr="001B7571" w:rsidRDefault="001B7571" w:rsidP="001B757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>Maintaining relevant expositions and documentation.</w:t>
            </w:r>
          </w:p>
          <w:p w14:paraId="3F04BAC1" w14:textId="77777777" w:rsidR="001B7571" w:rsidRPr="001B7571" w:rsidRDefault="001B7571" w:rsidP="001B757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1B7571">
              <w:rPr>
                <w:rFonts w:cs="Arial"/>
                <w:sz w:val="20"/>
                <w:szCs w:val="20"/>
                <w:lang w:val="en-US"/>
              </w:rPr>
              <w:t>Monitoring changes to regulatory legislation and international standards.</w:t>
            </w:r>
          </w:p>
          <w:p w14:paraId="2802C55D" w14:textId="0D5A4400" w:rsidR="000719D5" w:rsidRDefault="000719D5" w:rsidP="000719D5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  <w:p w14:paraId="400C69FB" w14:textId="1A924BDF" w:rsidR="0012328E" w:rsidRDefault="0012328E" w:rsidP="0012328E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797562E1" w14:textId="6DE5E180" w:rsidR="0012328E" w:rsidRDefault="0012328E" w:rsidP="0012328E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12328E">
              <w:rPr>
                <w:rFonts w:cs="Arial"/>
                <w:b/>
                <w:bCs/>
                <w:sz w:val="20"/>
                <w:szCs w:val="20"/>
                <w:lang w:val="en-US"/>
              </w:rPr>
              <w:t>Special Conditions</w:t>
            </w:r>
          </w:p>
          <w:p w14:paraId="2708CEDB" w14:textId="17F47C01" w:rsidR="0012328E" w:rsidRDefault="0012328E" w:rsidP="0012328E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1946010A" w14:textId="0798A657" w:rsidR="0012328E" w:rsidRPr="0012328E" w:rsidRDefault="0012328E" w:rsidP="0012328E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 Hoc / out of hours work during urgent / unforeseen business requirements.</w:t>
            </w:r>
          </w:p>
          <w:p w14:paraId="06321AAC" w14:textId="67F9BB35" w:rsidR="0012328E" w:rsidRPr="0012328E" w:rsidRDefault="0012328E" w:rsidP="0012328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val="en-US"/>
              </w:rPr>
            </w:pPr>
            <w:r w:rsidRPr="0012328E">
              <w:rPr>
                <w:rFonts w:cs="Arial"/>
                <w:sz w:val="20"/>
                <w:szCs w:val="20"/>
                <w:lang w:val="en-US"/>
              </w:rPr>
              <w:t>Domest</w:t>
            </w:r>
            <w:r>
              <w:rPr>
                <w:rFonts w:cs="Arial"/>
                <w:sz w:val="20"/>
                <w:szCs w:val="20"/>
                <w:lang w:val="en-US"/>
              </w:rPr>
              <w:t>ic / international travel as required.</w:t>
            </w:r>
          </w:p>
          <w:p w14:paraId="29EF983D" w14:textId="77777777" w:rsidR="007C2EFF" w:rsidRPr="0012328E" w:rsidRDefault="00C55438" w:rsidP="0012328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r w:rsidRPr="0012328E">
              <w:rPr>
                <w:rFonts w:cs="Arial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</w:p>
          <w:bookmarkEnd w:id="0"/>
          <w:bookmarkEnd w:id="1"/>
          <w:p w14:paraId="67B03399" w14:textId="77777777" w:rsidR="00C737B5" w:rsidRPr="00844E46" w:rsidRDefault="00C737B5" w:rsidP="00C737B5">
            <w:pPr>
              <w:pStyle w:val="ListParagraph"/>
              <w:ind w:left="3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44E46" w14:paraId="18D258C3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0403C5">
        <w:trPr>
          <w:jc w:val="center"/>
        </w:trPr>
        <w:tc>
          <w:tcPr>
            <w:tcW w:w="9395" w:type="dxa"/>
          </w:tcPr>
          <w:p w14:paraId="58A3FFE3" w14:textId="77777777" w:rsidR="00C737B5" w:rsidRPr="00844E46" w:rsidRDefault="00C737B5" w:rsidP="00D811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9C9982" w14:textId="62FE0B43" w:rsidR="004425E7" w:rsidRDefault="0012328E" w:rsidP="0012328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328E">
              <w:rPr>
                <w:rFonts w:cs="Arial"/>
                <w:b/>
                <w:bCs/>
                <w:sz w:val="20"/>
                <w:szCs w:val="20"/>
              </w:rPr>
              <w:t>Experience &amp; Qualification</w:t>
            </w:r>
          </w:p>
          <w:p w14:paraId="4702E820" w14:textId="558FE4D9" w:rsidR="0012328E" w:rsidRDefault="0012328E" w:rsidP="0012328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C42DD0F" w14:textId="5BE71322" w:rsidR="00F615A9" w:rsidRPr="00F615A9" w:rsidRDefault="00F615A9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F615A9">
              <w:rPr>
                <w:rFonts w:cs="Arial"/>
                <w:sz w:val="20"/>
                <w:szCs w:val="20"/>
              </w:rPr>
              <w:t>Strong academic achievement, typically higher education standard (A-Level) or equivalent – Required.</w:t>
            </w:r>
          </w:p>
          <w:p w14:paraId="0C4B2EC7" w14:textId="659D2FC4" w:rsidR="0012328E" w:rsidRPr="00B05F2E" w:rsidRDefault="0012328E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Formal a</w:t>
            </w:r>
            <w:r w:rsidR="0036137C">
              <w:rPr>
                <w:rFonts w:cs="Arial"/>
                <w:sz w:val="20"/>
                <w:szCs w:val="20"/>
              </w:rPr>
              <w:t>erospace</w:t>
            </w:r>
            <w:r>
              <w:rPr>
                <w:rFonts w:cs="Arial"/>
                <w:sz w:val="20"/>
                <w:szCs w:val="20"/>
              </w:rPr>
              <w:t xml:space="preserve"> engineering qualification – </w:t>
            </w:r>
            <w:r w:rsidR="005303C6">
              <w:rPr>
                <w:rFonts w:cs="Arial"/>
                <w:sz w:val="20"/>
                <w:szCs w:val="20"/>
              </w:rPr>
              <w:t>D</w:t>
            </w:r>
            <w:r w:rsidR="00F615A9">
              <w:rPr>
                <w:rFonts w:cs="Arial"/>
                <w:sz w:val="20"/>
                <w:szCs w:val="20"/>
              </w:rPr>
              <w:t>esirable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3961F00" w14:textId="230AF84D" w:rsidR="00B05F2E" w:rsidRPr="00B05F2E" w:rsidRDefault="00B05F2E" w:rsidP="00B05F2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Auditor qualification – ISO 9001 or suitable equivalent – </w:t>
            </w:r>
            <w:r w:rsidR="005303C6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esirable.</w:t>
            </w:r>
          </w:p>
          <w:p w14:paraId="11FC1F9D" w14:textId="3BB2208E" w:rsidR="0012328E" w:rsidRPr="00F615A9" w:rsidRDefault="00F615A9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Previous exposure to</w:t>
            </w:r>
            <w:r w:rsidR="0012328E">
              <w:rPr>
                <w:rFonts w:cs="Arial"/>
                <w:sz w:val="20"/>
                <w:szCs w:val="20"/>
              </w:rPr>
              <w:t xml:space="preserve"> </w:t>
            </w:r>
            <w:r w:rsidR="00C02B79">
              <w:rPr>
                <w:rFonts w:cs="Arial"/>
                <w:sz w:val="20"/>
                <w:szCs w:val="20"/>
              </w:rPr>
              <w:t>a</w:t>
            </w:r>
            <w:r w:rsidR="001061F0">
              <w:rPr>
                <w:rFonts w:cs="Arial"/>
                <w:sz w:val="20"/>
                <w:szCs w:val="20"/>
              </w:rPr>
              <w:t>erospace</w:t>
            </w:r>
            <w:r w:rsidR="0012328E">
              <w:rPr>
                <w:rFonts w:cs="Arial"/>
                <w:sz w:val="20"/>
                <w:szCs w:val="20"/>
              </w:rPr>
              <w:t xml:space="preserve"> regulations</w:t>
            </w:r>
            <w:r w:rsidR="00677F27">
              <w:rPr>
                <w:rFonts w:cs="Arial"/>
                <w:sz w:val="20"/>
                <w:szCs w:val="20"/>
              </w:rPr>
              <w:t xml:space="preserve"> and/or ISO 900</w:t>
            </w:r>
            <w:r w:rsidR="005303C6">
              <w:rPr>
                <w:rFonts w:cs="Arial"/>
                <w:sz w:val="20"/>
                <w:szCs w:val="20"/>
              </w:rPr>
              <w:t>1 Standard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2328E">
              <w:rPr>
                <w:rFonts w:cs="Arial"/>
                <w:sz w:val="20"/>
                <w:szCs w:val="20"/>
              </w:rPr>
              <w:t xml:space="preserve">– </w:t>
            </w:r>
            <w:r w:rsidR="005303C6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esirable</w:t>
            </w:r>
            <w:r w:rsidR="0012328E">
              <w:rPr>
                <w:rFonts w:cs="Arial"/>
                <w:sz w:val="20"/>
                <w:szCs w:val="20"/>
              </w:rPr>
              <w:t>.</w:t>
            </w:r>
          </w:p>
          <w:p w14:paraId="335795C4" w14:textId="54A2D4B8" w:rsidR="0012328E" w:rsidRPr="0012328E" w:rsidRDefault="00F615A9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Ability to gain </w:t>
            </w:r>
            <w:r w:rsidR="001624BE">
              <w:rPr>
                <w:rFonts w:cs="Arial"/>
                <w:sz w:val="20"/>
                <w:szCs w:val="20"/>
              </w:rPr>
              <w:t>and maintain Security Clearance (SC) status – Required.</w:t>
            </w:r>
          </w:p>
          <w:p w14:paraId="1D0752C3" w14:textId="7CF17107" w:rsidR="0012328E" w:rsidRDefault="0012328E" w:rsidP="0012328E">
            <w:pPr>
              <w:pStyle w:val="ListParagraph"/>
              <w:rPr>
                <w:rFonts w:cs="Arial"/>
                <w:b/>
                <w:bCs/>
                <w:sz w:val="20"/>
                <w:szCs w:val="20"/>
              </w:rPr>
            </w:pPr>
          </w:p>
          <w:p w14:paraId="687217D9" w14:textId="77777777" w:rsidR="001624BE" w:rsidRDefault="001624BE" w:rsidP="0012328E">
            <w:pPr>
              <w:pStyle w:val="ListParagraph"/>
              <w:rPr>
                <w:rFonts w:cs="Arial"/>
                <w:b/>
                <w:bCs/>
                <w:sz w:val="20"/>
                <w:szCs w:val="20"/>
              </w:rPr>
            </w:pPr>
          </w:p>
          <w:p w14:paraId="558A232F" w14:textId="1343E36D" w:rsidR="00EC0A94" w:rsidRDefault="00EC0A94" w:rsidP="00EC0A9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Personal Skills &amp; Attributes</w:t>
            </w:r>
          </w:p>
          <w:p w14:paraId="2E787642" w14:textId="5E5D9B84" w:rsidR="00EC0A94" w:rsidRDefault="00EC0A94" w:rsidP="00EC0A9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823F31D" w14:textId="62D1AB2C" w:rsidR="00EC0A94" w:rsidRPr="00EC0A94" w:rsidRDefault="00EC0A94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Good verbal and written communication skills – ability to interface with internal and external customers at all levels.</w:t>
            </w:r>
          </w:p>
          <w:p w14:paraId="20A0A5E1" w14:textId="1517A6B7" w:rsidR="00EC0A94" w:rsidRPr="00EC0A94" w:rsidRDefault="00EC0A94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Good organisational and time management skills with the ability to work under pressure and achieve tight deadlines.</w:t>
            </w:r>
          </w:p>
          <w:p w14:paraId="47637C31" w14:textId="106957F4" w:rsidR="00EC0A94" w:rsidRPr="00EC0A94" w:rsidRDefault="001624BE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Strong IT literacy</w:t>
            </w:r>
            <w:r w:rsidR="00EC0A94">
              <w:rPr>
                <w:rFonts w:cs="Arial"/>
                <w:sz w:val="20"/>
                <w:szCs w:val="20"/>
              </w:rPr>
              <w:t xml:space="preserve"> – use of MS office, excel and other company software as required.</w:t>
            </w:r>
          </w:p>
          <w:p w14:paraId="0423644D" w14:textId="12BB3DF4" w:rsidR="00EC0A94" w:rsidRPr="00EC0A94" w:rsidRDefault="00EC0A94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Maintain high levels of integrity, work ethic and confidentiality and use discretion appropriately.</w:t>
            </w:r>
          </w:p>
          <w:p w14:paraId="6508CF1B" w14:textId="77777777" w:rsidR="001624BE" w:rsidRPr="001624BE" w:rsidRDefault="001624BE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0"/>
                <w:szCs w:val="20"/>
              </w:rPr>
            </w:pPr>
            <w:r w:rsidRPr="001624BE">
              <w:rPr>
                <w:rFonts w:cs="Arial"/>
                <w:sz w:val="20"/>
                <w:szCs w:val="20"/>
              </w:rPr>
              <w:t>Dynamic, flexible and adaptable attitude.</w:t>
            </w:r>
          </w:p>
          <w:p w14:paraId="1DBC473E" w14:textId="77777777" w:rsidR="001624BE" w:rsidRPr="001624BE" w:rsidRDefault="001624BE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1624BE">
              <w:rPr>
                <w:rFonts w:cs="Arial"/>
                <w:sz w:val="20"/>
                <w:szCs w:val="20"/>
              </w:rPr>
              <w:t>Detail-oriented with an analytical approach, while maintaining independence and objectivity.</w:t>
            </w:r>
          </w:p>
          <w:p w14:paraId="1798CEBD" w14:textId="77777777" w:rsidR="001624BE" w:rsidRPr="001624BE" w:rsidRDefault="001624BE" w:rsidP="001624BE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1624BE">
              <w:rPr>
                <w:rFonts w:cs="Arial"/>
                <w:sz w:val="20"/>
                <w:szCs w:val="20"/>
              </w:rPr>
              <w:t>Ability to work effectively and positively within a small team.</w:t>
            </w:r>
          </w:p>
          <w:p w14:paraId="3E4827BC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930AF" w14:textId="77777777" w:rsidR="004425E7" w:rsidRPr="00844E46" w:rsidRDefault="004425E7" w:rsidP="004425E7">
            <w:pPr>
              <w:rPr>
                <w:rFonts w:ascii="Arial" w:hAnsi="Arial" w:cs="Arial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6253003C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429CF4D0" w14:textId="77777777" w:rsidR="008A3017" w:rsidRPr="00844E46" w:rsidRDefault="008A3017" w:rsidP="008A301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68B086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8B9CE" w14:textId="686EDD6F" w:rsidR="004425E7" w:rsidRDefault="00EC0A94" w:rsidP="00EC0A9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Effective </w:t>
            </w:r>
            <w:r w:rsidR="001624BE">
              <w:rPr>
                <w:rFonts w:cs="Arial"/>
                <w:sz w:val="20"/>
                <w:szCs w:val="20"/>
              </w:rPr>
              <w:t>support</w:t>
            </w:r>
            <w:r>
              <w:rPr>
                <w:rFonts w:cs="Arial"/>
                <w:sz w:val="20"/>
                <w:szCs w:val="20"/>
              </w:rPr>
              <w:t xml:space="preserve"> of the audits assigned to them – delivered on time to the requisite standard. </w:t>
            </w:r>
          </w:p>
          <w:p w14:paraId="318B3511" w14:textId="4E9A0D7D" w:rsidR="00EC0A94" w:rsidRDefault="00EC0A94" w:rsidP="00EC0A9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Effective management of audit non-conformances, mitigating likelihood of repeat occurrence.</w:t>
            </w:r>
          </w:p>
          <w:p w14:paraId="070452F9" w14:textId="58C3BD70" w:rsidR="00EC0A94" w:rsidRDefault="00EC0A94" w:rsidP="00EC0A9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Effective monitoring of regulatory legislation and international standards.</w:t>
            </w:r>
          </w:p>
          <w:p w14:paraId="4A0C1522" w14:textId="6B39A291" w:rsidR="004425E7" w:rsidRPr="0075564E" w:rsidRDefault="00EC0A94" w:rsidP="004425E7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Successful performance against objectives set during annual person</w:t>
            </w:r>
            <w:r w:rsidR="0075564E">
              <w:rPr>
                <w:rFonts w:cs="Arial"/>
                <w:sz w:val="20"/>
                <w:szCs w:val="20"/>
              </w:rPr>
              <w:t>al development review.</w:t>
            </w:r>
          </w:p>
          <w:p w14:paraId="4C9392AA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6E7161" w14:textId="77777777" w:rsidR="008A3017" w:rsidRPr="00844E46" w:rsidRDefault="008A3017" w:rsidP="004425E7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55C3B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89D"/>
    <w:multiLevelType w:val="hybridMultilevel"/>
    <w:tmpl w:val="F4B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E70AF8"/>
    <w:multiLevelType w:val="hybridMultilevel"/>
    <w:tmpl w:val="1512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0ACF"/>
    <w:multiLevelType w:val="hybridMultilevel"/>
    <w:tmpl w:val="8CDE8BBC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7C067B"/>
    <w:multiLevelType w:val="hybridMultilevel"/>
    <w:tmpl w:val="7950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137F"/>
    <w:multiLevelType w:val="hybridMultilevel"/>
    <w:tmpl w:val="4CA8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E53FC"/>
    <w:multiLevelType w:val="hybridMultilevel"/>
    <w:tmpl w:val="4F4E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FC2FC1"/>
    <w:multiLevelType w:val="hybridMultilevel"/>
    <w:tmpl w:val="8DE0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D1A"/>
    <w:multiLevelType w:val="hybridMultilevel"/>
    <w:tmpl w:val="A1582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C51A5"/>
    <w:multiLevelType w:val="hybridMultilevel"/>
    <w:tmpl w:val="CF6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A85266E"/>
    <w:multiLevelType w:val="hybridMultilevel"/>
    <w:tmpl w:val="0BF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D227B"/>
    <w:multiLevelType w:val="hybridMultilevel"/>
    <w:tmpl w:val="6FF0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E4E74"/>
    <w:multiLevelType w:val="hybridMultilevel"/>
    <w:tmpl w:val="E25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5866">
    <w:abstractNumId w:val="22"/>
  </w:num>
  <w:num w:numId="2" w16cid:durableId="1790202196">
    <w:abstractNumId w:val="19"/>
  </w:num>
  <w:num w:numId="3" w16cid:durableId="1658921744">
    <w:abstractNumId w:val="16"/>
  </w:num>
  <w:num w:numId="4" w16cid:durableId="1416854408">
    <w:abstractNumId w:val="6"/>
  </w:num>
  <w:num w:numId="5" w16cid:durableId="694382385">
    <w:abstractNumId w:val="21"/>
  </w:num>
  <w:num w:numId="6" w16cid:durableId="1073545421">
    <w:abstractNumId w:val="0"/>
  </w:num>
  <w:num w:numId="7" w16cid:durableId="672878086">
    <w:abstractNumId w:val="14"/>
  </w:num>
  <w:num w:numId="8" w16cid:durableId="262610339">
    <w:abstractNumId w:val="3"/>
  </w:num>
  <w:num w:numId="9" w16cid:durableId="1662586393">
    <w:abstractNumId w:val="8"/>
  </w:num>
  <w:num w:numId="10" w16cid:durableId="689333299">
    <w:abstractNumId w:val="15"/>
  </w:num>
  <w:num w:numId="11" w16cid:durableId="1980571019">
    <w:abstractNumId w:val="9"/>
  </w:num>
  <w:num w:numId="12" w16cid:durableId="1774590069">
    <w:abstractNumId w:val="1"/>
  </w:num>
  <w:num w:numId="13" w16cid:durableId="65348207">
    <w:abstractNumId w:val="11"/>
  </w:num>
  <w:num w:numId="14" w16cid:durableId="1220170949">
    <w:abstractNumId w:val="10"/>
  </w:num>
  <w:num w:numId="15" w16cid:durableId="944508251">
    <w:abstractNumId w:val="18"/>
  </w:num>
  <w:num w:numId="16" w16cid:durableId="1078792447">
    <w:abstractNumId w:val="5"/>
  </w:num>
  <w:num w:numId="17" w16cid:durableId="770198298">
    <w:abstractNumId w:val="13"/>
  </w:num>
  <w:num w:numId="18" w16cid:durableId="1841851308">
    <w:abstractNumId w:val="25"/>
  </w:num>
  <w:num w:numId="19" w16cid:durableId="1566183906">
    <w:abstractNumId w:val="12"/>
  </w:num>
  <w:num w:numId="20" w16cid:durableId="1354189961">
    <w:abstractNumId w:val="24"/>
  </w:num>
  <w:num w:numId="21" w16cid:durableId="1903055949">
    <w:abstractNumId w:val="7"/>
  </w:num>
  <w:num w:numId="22" w16cid:durableId="1591965073">
    <w:abstractNumId w:val="2"/>
  </w:num>
  <w:num w:numId="23" w16cid:durableId="1403912966">
    <w:abstractNumId w:val="17"/>
  </w:num>
  <w:num w:numId="24" w16cid:durableId="205780">
    <w:abstractNumId w:val="23"/>
  </w:num>
  <w:num w:numId="25" w16cid:durableId="1409688100">
    <w:abstractNumId w:val="20"/>
  </w:num>
  <w:num w:numId="26" w16cid:durableId="207358140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19D5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F6EEA"/>
    <w:rsid w:val="001061F0"/>
    <w:rsid w:val="00111A94"/>
    <w:rsid w:val="001214C7"/>
    <w:rsid w:val="001221FA"/>
    <w:rsid w:val="00122947"/>
    <w:rsid w:val="00122B0A"/>
    <w:rsid w:val="0012328E"/>
    <w:rsid w:val="00126208"/>
    <w:rsid w:val="001347EF"/>
    <w:rsid w:val="001368B9"/>
    <w:rsid w:val="00137626"/>
    <w:rsid w:val="001458DC"/>
    <w:rsid w:val="0014768E"/>
    <w:rsid w:val="00152BFD"/>
    <w:rsid w:val="00161AEE"/>
    <w:rsid w:val="001624BE"/>
    <w:rsid w:val="00164526"/>
    <w:rsid w:val="0016763E"/>
    <w:rsid w:val="00172D2C"/>
    <w:rsid w:val="00175F17"/>
    <w:rsid w:val="00187D6C"/>
    <w:rsid w:val="00196C0A"/>
    <w:rsid w:val="001A3199"/>
    <w:rsid w:val="001B0BCA"/>
    <w:rsid w:val="001B7571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17D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1DFA"/>
    <w:rsid w:val="00343D8F"/>
    <w:rsid w:val="0036137C"/>
    <w:rsid w:val="00373502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26CFD"/>
    <w:rsid w:val="00441BC3"/>
    <w:rsid w:val="004425E7"/>
    <w:rsid w:val="0044698D"/>
    <w:rsid w:val="0045467A"/>
    <w:rsid w:val="00457055"/>
    <w:rsid w:val="0046582F"/>
    <w:rsid w:val="004715AC"/>
    <w:rsid w:val="004753CF"/>
    <w:rsid w:val="004931F5"/>
    <w:rsid w:val="004B6A3C"/>
    <w:rsid w:val="004C3DC2"/>
    <w:rsid w:val="004E3095"/>
    <w:rsid w:val="004F4610"/>
    <w:rsid w:val="00501476"/>
    <w:rsid w:val="0051017F"/>
    <w:rsid w:val="005113B0"/>
    <w:rsid w:val="00514964"/>
    <w:rsid w:val="005234C2"/>
    <w:rsid w:val="005303C6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30B5"/>
    <w:rsid w:val="005F57F4"/>
    <w:rsid w:val="005F5B29"/>
    <w:rsid w:val="005F7247"/>
    <w:rsid w:val="00623946"/>
    <w:rsid w:val="0063201C"/>
    <w:rsid w:val="006574B5"/>
    <w:rsid w:val="00674734"/>
    <w:rsid w:val="00677F27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564E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019A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56B8"/>
    <w:rsid w:val="00B05819"/>
    <w:rsid w:val="00B05F2E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8008B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2B79"/>
    <w:rsid w:val="00C0389C"/>
    <w:rsid w:val="00C22AEF"/>
    <w:rsid w:val="00C31E51"/>
    <w:rsid w:val="00C436B3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13A93"/>
    <w:rsid w:val="00D17C1D"/>
    <w:rsid w:val="00D237DC"/>
    <w:rsid w:val="00D339D4"/>
    <w:rsid w:val="00D379BF"/>
    <w:rsid w:val="00D51D77"/>
    <w:rsid w:val="00D55FF4"/>
    <w:rsid w:val="00D81152"/>
    <w:rsid w:val="00D82998"/>
    <w:rsid w:val="00D87148"/>
    <w:rsid w:val="00D9062F"/>
    <w:rsid w:val="00DB0AE4"/>
    <w:rsid w:val="00DC408D"/>
    <w:rsid w:val="00DC692C"/>
    <w:rsid w:val="00DE3EF0"/>
    <w:rsid w:val="00DF5D8A"/>
    <w:rsid w:val="00E045AC"/>
    <w:rsid w:val="00E17475"/>
    <w:rsid w:val="00E200D4"/>
    <w:rsid w:val="00E20F0F"/>
    <w:rsid w:val="00E34B50"/>
    <w:rsid w:val="00E45A13"/>
    <w:rsid w:val="00E64C18"/>
    <w:rsid w:val="00E71FCD"/>
    <w:rsid w:val="00E757D6"/>
    <w:rsid w:val="00E9168C"/>
    <w:rsid w:val="00E9360A"/>
    <w:rsid w:val="00EA23B3"/>
    <w:rsid w:val="00EB6457"/>
    <w:rsid w:val="00EC0A94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5050D"/>
    <w:rsid w:val="00F5075F"/>
    <w:rsid w:val="00F615A9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13ad02-38a3-4710-90ac-2c7381c1efa8}" enabled="0" method="" siteId="{7413ad02-38a3-4710-90ac-2c7381c1ef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Harris, Gary</cp:lastModifiedBy>
  <cp:revision>5</cp:revision>
  <cp:lastPrinted>2015-06-03T10:43:00Z</cp:lastPrinted>
  <dcterms:created xsi:type="dcterms:W3CDTF">2024-06-10T09:26:00Z</dcterms:created>
  <dcterms:modified xsi:type="dcterms:W3CDTF">2024-08-01T15:05:00Z</dcterms:modified>
</cp:coreProperties>
</file>