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CB58" w14:textId="5FD103D9" w:rsidR="00D339D4" w:rsidRPr="00890E63" w:rsidRDefault="00D339D4" w:rsidP="00555C3B">
      <w:pPr>
        <w:pStyle w:val="Header"/>
        <w:rPr>
          <w:rFonts w:cs="Tahoma"/>
          <w:b/>
          <w:szCs w:val="28"/>
        </w:rPr>
      </w:pPr>
      <w:r w:rsidRPr="00890E63">
        <w:rPr>
          <w:rFonts w:cs="Tahoma"/>
          <w:b/>
          <w:szCs w:val="28"/>
        </w:rPr>
        <w:t xml:space="preserve">Job Title: </w:t>
      </w:r>
      <w:r w:rsidR="009C4886" w:rsidRPr="00890E63">
        <w:rPr>
          <w:rFonts w:cs="Tahoma"/>
          <w:b/>
          <w:szCs w:val="28"/>
        </w:rPr>
        <w:t xml:space="preserve"> </w:t>
      </w:r>
      <w:r w:rsidR="0052362E">
        <w:rPr>
          <w:rFonts w:cs="Tahoma"/>
          <w:b/>
          <w:szCs w:val="28"/>
        </w:rPr>
        <w:t>Bid</w:t>
      </w:r>
      <w:r w:rsidR="00E12079">
        <w:rPr>
          <w:rFonts w:cs="Tahoma"/>
          <w:b/>
          <w:szCs w:val="28"/>
        </w:rPr>
        <w:t xml:space="preserve"> </w:t>
      </w:r>
      <w:r w:rsidR="00FF6A6A">
        <w:rPr>
          <w:rFonts w:cs="Tahoma"/>
          <w:b/>
          <w:szCs w:val="28"/>
        </w:rPr>
        <w:t>Accountant</w:t>
      </w:r>
    </w:p>
    <w:p w14:paraId="7A6BC608" w14:textId="77777777" w:rsidR="00D339D4" w:rsidRPr="00890E63" w:rsidRDefault="00D339D4" w:rsidP="00D87148">
      <w:pPr>
        <w:rPr>
          <w:rFonts w:cs="Tahoma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90E63" w14:paraId="74F9BC85" w14:textId="77777777" w:rsidTr="00377D94">
        <w:tc>
          <w:tcPr>
            <w:tcW w:w="9175" w:type="dxa"/>
            <w:shd w:val="clear" w:color="auto" w:fill="808080" w:themeFill="background1" w:themeFillShade="80"/>
          </w:tcPr>
          <w:p w14:paraId="139923A9" w14:textId="77777777" w:rsidR="007C2EFF" w:rsidRPr="00890E63" w:rsidRDefault="007C2EFF" w:rsidP="00D87148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Role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 xml:space="preserve">Purpose </w:t>
            </w:r>
            <w:r w:rsidRPr="005E6F8E">
              <w:rPr>
                <w:rFonts w:cs="Tahoma"/>
                <w:b/>
                <w:color w:val="FFFFFF" w:themeColor="background1"/>
              </w:rPr>
              <w:t>(position scope)</w:t>
            </w:r>
          </w:p>
        </w:tc>
      </w:tr>
      <w:tr w:rsidR="007C2EFF" w:rsidRPr="00890E63" w14:paraId="51B0D2F9" w14:textId="77777777" w:rsidTr="00377D94">
        <w:tc>
          <w:tcPr>
            <w:tcW w:w="9175" w:type="dxa"/>
          </w:tcPr>
          <w:p w14:paraId="2BC22803" w14:textId="77777777" w:rsidR="00C737B5" w:rsidRPr="00890E63" w:rsidRDefault="00C737B5" w:rsidP="00C737B5">
            <w:pPr>
              <w:rPr>
                <w:rFonts w:cs="Tahoma"/>
                <w:sz w:val="20"/>
                <w:szCs w:val="20"/>
              </w:rPr>
            </w:pPr>
          </w:p>
          <w:p w14:paraId="3AE454AB" w14:textId="77777777" w:rsidR="0052362E" w:rsidRDefault="0052362E" w:rsidP="0052362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ahoma"/>
                <w:sz w:val="20"/>
                <w:szCs w:val="20"/>
              </w:rPr>
            </w:pPr>
            <w:r w:rsidRPr="0052362E">
              <w:rPr>
                <w:rFonts w:cs="Tahoma"/>
                <w:sz w:val="20"/>
                <w:szCs w:val="20"/>
              </w:rPr>
              <w:t xml:space="preserve">The Bid Accountant provides financial modelling support across a variety of bids and other business opportunities. </w:t>
            </w:r>
          </w:p>
          <w:p w14:paraId="3BE48C88" w14:textId="1C43EBFD" w:rsidR="0052362E" w:rsidRDefault="0052362E" w:rsidP="0052362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ahoma"/>
                <w:sz w:val="20"/>
                <w:szCs w:val="20"/>
              </w:rPr>
            </w:pPr>
            <w:r w:rsidRPr="0052362E">
              <w:rPr>
                <w:rFonts w:cs="Tahoma"/>
                <w:sz w:val="20"/>
                <w:szCs w:val="20"/>
              </w:rPr>
              <w:t>This role is instrumental in ensuring that financial models for bids are constructed in a robust and coherent manner and can produce outputs across multiple scenarios.  The opportunities for Draken are across a variety of markets and geographical territories and therefore the role requires an adaptable approach to modelling contract costs and financial out-turn, rather than a ‘one size fits all’ philosophy.</w:t>
            </w:r>
            <w:r>
              <w:rPr>
                <w:rFonts w:cs="Tahoma"/>
                <w:sz w:val="20"/>
                <w:szCs w:val="20"/>
              </w:rPr>
              <w:t xml:space="preserve"> International travel will be required for this role.</w:t>
            </w:r>
          </w:p>
          <w:p w14:paraId="76A2A4D8" w14:textId="58F4A180" w:rsidR="0052362E" w:rsidRPr="0052362E" w:rsidRDefault="0052362E" w:rsidP="0052362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ahoma"/>
                <w:sz w:val="20"/>
                <w:szCs w:val="20"/>
              </w:rPr>
            </w:pPr>
            <w:r w:rsidRPr="0052362E">
              <w:rPr>
                <w:rFonts w:cs="Tahoma"/>
                <w:sz w:val="20"/>
                <w:szCs w:val="20"/>
              </w:rPr>
              <w:t xml:space="preserve">In producing the cost models, this role requires close liaison with bid managers and most if not all functional/operational areas and will also interface directly with senior management including Vice President Sales and Business Development, Vice President Programmes and Vice President Commercial and Contracts.  </w:t>
            </w:r>
          </w:p>
          <w:p w14:paraId="33E4201D" w14:textId="77777777" w:rsidR="004D1E85" w:rsidRPr="00FF6A6A" w:rsidRDefault="004D1E85" w:rsidP="004D1E85">
            <w:pPr>
              <w:pStyle w:val="ListParagraph"/>
              <w:contextualSpacing w:val="0"/>
              <w:jc w:val="both"/>
              <w:rPr>
                <w:rFonts w:ascii="Tahoma" w:hAnsi="Tahoma" w:cs="Tahoma"/>
                <w:sz w:val="20"/>
                <w:szCs w:val="22"/>
              </w:rPr>
            </w:pPr>
          </w:p>
        </w:tc>
      </w:tr>
    </w:tbl>
    <w:p w14:paraId="079A7D84" w14:textId="77777777" w:rsidR="007C2EFF" w:rsidRPr="00890E63" w:rsidRDefault="007C2EFF" w:rsidP="00D87148">
      <w:pPr>
        <w:rPr>
          <w:rFonts w:cs="Tahoma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684"/>
        <w:gridCol w:w="2898"/>
        <w:gridCol w:w="2285"/>
      </w:tblGrid>
      <w:tr w:rsidR="007C2EFF" w:rsidRPr="00890E63" w14:paraId="758B94DA" w14:textId="77777777" w:rsidTr="00377D94">
        <w:tc>
          <w:tcPr>
            <w:tcW w:w="2308" w:type="dxa"/>
            <w:shd w:val="clear" w:color="auto" w:fill="808080" w:themeFill="background1" w:themeFillShade="80"/>
          </w:tcPr>
          <w:p w14:paraId="4CCDE960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Line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Manager</w:t>
            </w:r>
          </w:p>
        </w:tc>
        <w:tc>
          <w:tcPr>
            <w:tcW w:w="1684" w:type="dxa"/>
            <w:shd w:val="clear" w:color="auto" w:fill="808080" w:themeFill="background1" w:themeFillShade="80"/>
          </w:tcPr>
          <w:p w14:paraId="127ED91A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Dotted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Line</w:t>
            </w:r>
          </w:p>
        </w:tc>
        <w:tc>
          <w:tcPr>
            <w:tcW w:w="2898" w:type="dxa"/>
            <w:shd w:val="clear" w:color="auto" w:fill="808080" w:themeFill="background1" w:themeFillShade="80"/>
          </w:tcPr>
          <w:p w14:paraId="275B6A07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Direct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Reports</w:t>
            </w:r>
          </w:p>
        </w:tc>
        <w:tc>
          <w:tcPr>
            <w:tcW w:w="2285" w:type="dxa"/>
            <w:shd w:val="clear" w:color="auto" w:fill="808080" w:themeFill="background1" w:themeFillShade="80"/>
          </w:tcPr>
          <w:p w14:paraId="78FF4F21" w14:textId="77777777" w:rsidR="007C2EFF" w:rsidRPr="005E6F8E" w:rsidRDefault="007C2EFF" w:rsidP="00026512">
            <w:pPr>
              <w:spacing w:before="120" w:after="120"/>
              <w:rPr>
                <w:rFonts w:cs="Tahoma"/>
                <w:b/>
                <w:color w:val="FFFFFF" w:themeColor="background1"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Dotted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Line</w:t>
            </w:r>
          </w:p>
        </w:tc>
      </w:tr>
      <w:tr w:rsidR="00FF6A6A" w:rsidRPr="00890E63" w14:paraId="60009B40" w14:textId="77777777" w:rsidTr="00377D94">
        <w:tc>
          <w:tcPr>
            <w:tcW w:w="2308" w:type="dxa"/>
          </w:tcPr>
          <w:p w14:paraId="060A2122" w14:textId="64505B9F" w:rsidR="00FF6A6A" w:rsidRPr="00755C69" w:rsidRDefault="0052362E" w:rsidP="0052362E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VP Finance (TBC)</w:t>
            </w:r>
          </w:p>
        </w:tc>
        <w:tc>
          <w:tcPr>
            <w:tcW w:w="1684" w:type="dxa"/>
          </w:tcPr>
          <w:p w14:paraId="4DA5BB1D" w14:textId="77777777" w:rsidR="0069071F" w:rsidRPr="00755C69" w:rsidRDefault="004469D1" w:rsidP="0069071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None</w:t>
            </w:r>
          </w:p>
          <w:p w14:paraId="6A08365A" w14:textId="77777777" w:rsidR="00FF6A6A" w:rsidRPr="00755C69" w:rsidRDefault="00FF6A6A" w:rsidP="00FF6A6A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2898" w:type="dxa"/>
          </w:tcPr>
          <w:p w14:paraId="581A0D56" w14:textId="77777777" w:rsidR="00FF6A6A" w:rsidRPr="00890E63" w:rsidRDefault="00FF6A6A" w:rsidP="00FF6A6A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None</w:t>
            </w:r>
          </w:p>
        </w:tc>
        <w:tc>
          <w:tcPr>
            <w:tcW w:w="2285" w:type="dxa"/>
          </w:tcPr>
          <w:p w14:paraId="7A7E72A2" w14:textId="77777777" w:rsidR="00FF6A6A" w:rsidRPr="00890E63" w:rsidRDefault="00FF6A6A" w:rsidP="00FF6A6A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-</w:t>
            </w:r>
          </w:p>
        </w:tc>
      </w:tr>
    </w:tbl>
    <w:p w14:paraId="1250BD65" w14:textId="77777777" w:rsidR="007C2EFF" w:rsidRPr="00890E63" w:rsidRDefault="007C2EFF" w:rsidP="00D87148">
      <w:pPr>
        <w:rPr>
          <w:rFonts w:cs="Tahoma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8614"/>
        <w:gridCol w:w="742"/>
      </w:tblGrid>
      <w:tr w:rsidR="007C2EFF" w:rsidRPr="00890E63" w14:paraId="174E75DF" w14:textId="77777777" w:rsidTr="00DC3481">
        <w:trPr>
          <w:gridAfter w:val="1"/>
          <w:wAfter w:w="742" w:type="dxa"/>
        </w:trPr>
        <w:tc>
          <w:tcPr>
            <w:tcW w:w="9039" w:type="dxa"/>
            <w:gridSpan w:val="2"/>
            <w:shd w:val="clear" w:color="auto" w:fill="808080" w:themeFill="background1" w:themeFillShade="80"/>
          </w:tcPr>
          <w:p w14:paraId="3E7E88AF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Key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Responsibilities</w:t>
            </w:r>
          </w:p>
        </w:tc>
      </w:tr>
      <w:tr w:rsidR="007C2EFF" w:rsidRPr="00890E63" w14:paraId="088409E7" w14:textId="77777777" w:rsidTr="00DC3481">
        <w:trPr>
          <w:gridAfter w:val="1"/>
          <w:wAfter w:w="742" w:type="dxa"/>
        </w:trPr>
        <w:tc>
          <w:tcPr>
            <w:tcW w:w="9039" w:type="dxa"/>
            <w:gridSpan w:val="2"/>
          </w:tcPr>
          <w:p w14:paraId="380CACC0" w14:textId="77777777" w:rsidR="00C737B5" w:rsidRPr="002D17DE" w:rsidRDefault="00C737B5" w:rsidP="002D17DE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62D074EE" w14:textId="77777777" w:rsidR="00FF6A6A" w:rsidRPr="00941E4B" w:rsidRDefault="00FF6A6A" w:rsidP="00FF6A6A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 w:rsidRPr="00941E4B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Financial</w:t>
            </w:r>
          </w:p>
          <w:p w14:paraId="3EA38C2B" w14:textId="6FFCE35E" w:rsidR="00AA5081" w:rsidRDefault="00AA5081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Preparation of financial models for </w:t>
            </w:r>
            <w:r w:rsidR="009D0019">
              <w:rPr>
                <w:rFonts w:cs="Tahoma"/>
                <w:sz w:val="20"/>
                <w:szCs w:val="20"/>
              </w:rPr>
              <w:t>major bids, including those with significant financing arrangements, as part of delivery of a robust set of bid and pricing models capable of review by senior management</w:t>
            </w:r>
          </w:p>
          <w:p w14:paraId="76F317A2" w14:textId="4D8F456D" w:rsidR="009D0019" w:rsidRDefault="009D0019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Construction and ongoing maintenance of bid models suitable for new opportunities, capable of use across multiple bids of a similar nature</w:t>
            </w:r>
          </w:p>
          <w:p w14:paraId="0F9E33AD" w14:textId="4300AF4B" w:rsidR="00AA5081" w:rsidRDefault="00AA5081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Liaison with the wider business to gather input into costs, including</w:t>
            </w:r>
            <w:r w:rsidR="009D0019">
              <w:rPr>
                <w:rFonts w:cs="Tahoma"/>
                <w:sz w:val="20"/>
                <w:szCs w:val="20"/>
              </w:rPr>
              <w:t xml:space="preserve"> ensuring costs have an appropriate</w:t>
            </w:r>
            <w:r>
              <w:rPr>
                <w:rFonts w:cs="Tahoma"/>
                <w:sz w:val="20"/>
                <w:szCs w:val="20"/>
              </w:rPr>
              <w:t xml:space="preserve"> basis of estimation, </w:t>
            </w:r>
            <w:r w:rsidR="009D0019">
              <w:rPr>
                <w:rFonts w:cs="Tahoma"/>
                <w:sz w:val="20"/>
                <w:szCs w:val="20"/>
              </w:rPr>
              <w:t xml:space="preserve">the correct </w:t>
            </w:r>
            <w:r>
              <w:rPr>
                <w:rFonts w:cs="Tahoma"/>
                <w:sz w:val="20"/>
                <w:szCs w:val="20"/>
              </w:rPr>
              <w:t>phasing</w:t>
            </w:r>
            <w:r w:rsidR="009D0019">
              <w:rPr>
                <w:rFonts w:cs="Tahoma"/>
                <w:sz w:val="20"/>
                <w:szCs w:val="20"/>
              </w:rPr>
              <w:t xml:space="preserve"> (both accounting and cash basis) and </w:t>
            </w:r>
            <w:r>
              <w:rPr>
                <w:rFonts w:cs="Tahoma"/>
                <w:sz w:val="20"/>
                <w:szCs w:val="20"/>
              </w:rPr>
              <w:t>potential risks/opportunities</w:t>
            </w:r>
            <w:r w:rsidR="009D0019">
              <w:rPr>
                <w:rFonts w:cs="Tahoma"/>
                <w:sz w:val="20"/>
                <w:szCs w:val="20"/>
              </w:rPr>
              <w:t xml:space="preserve">  </w:t>
            </w:r>
          </w:p>
          <w:p w14:paraId="02B6D68B" w14:textId="0D7EC1A3" w:rsidR="00AA5081" w:rsidRDefault="00AA5081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Support wider business with financial inputs, providing a business partnering service to support with cost estimation, as well as </w:t>
            </w:r>
            <w:r w:rsidR="009D0019">
              <w:rPr>
                <w:rFonts w:cs="Tahoma"/>
                <w:sz w:val="20"/>
                <w:szCs w:val="20"/>
              </w:rPr>
              <w:t xml:space="preserve">applying a vigorous and healthy </w:t>
            </w:r>
            <w:r>
              <w:rPr>
                <w:rFonts w:cs="Tahoma"/>
                <w:sz w:val="20"/>
                <w:szCs w:val="20"/>
              </w:rPr>
              <w:t>challeng</w:t>
            </w:r>
            <w:r w:rsidR="009D0019">
              <w:rPr>
                <w:rFonts w:cs="Tahoma"/>
                <w:sz w:val="20"/>
                <w:szCs w:val="20"/>
              </w:rPr>
              <w:t>e to ensure costs are required and complete</w:t>
            </w:r>
          </w:p>
          <w:p w14:paraId="506687BE" w14:textId="6A44B57B" w:rsidR="009D0019" w:rsidRDefault="009D0019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Ensure appropriate allocation of central overheads</w:t>
            </w:r>
            <w:r w:rsidR="00E63582">
              <w:rPr>
                <w:rFonts w:cs="Tahoma"/>
                <w:sz w:val="20"/>
                <w:szCs w:val="20"/>
              </w:rPr>
              <w:t xml:space="preserve"> in the financial models</w:t>
            </w:r>
          </w:p>
          <w:p w14:paraId="31AAB908" w14:textId="4F9986D1" w:rsidR="009D0019" w:rsidRDefault="009D0019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Ensure all relevant financial accounting standards are </w:t>
            </w:r>
            <w:proofErr w:type="gramStart"/>
            <w:r>
              <w:rPr>
                <w:rFonts w:cs="Tahoma"/>
                <w:sz w:val="20"/>
                <w:szCs w:val="20"/>
              </w:rPr>
              <w:t>taken into account</w:t>
            </w:r>
            <w:proofErr w:type="gramEnd"/>
            <w:r>
              <w:rPr>
                <w:rFonts w:cs="Tahoma"/>
                <w:sz w:val="20"/>
                <w:szCs w:val="20"/>
              </w:rPr>
              <w:t>, including those known to be coming into effect during the contract period</w:t>
            </w:r>
          </w:p>
          <w:p w14:paraId="214998C3" w14:textId="74AAC8F4" w:rsidR="001D4676" w:rsidRPr="001D4676" w:rsidRDefault="001D4676" w:rsidP="001D4676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Assisting with researching the taxation and corporate frameworks for international bids to ensure the costs of doing business overseas is fully understood and built into the financial models</w:t>
            </w:r>
          </w:p>
          <w:p w14:paraId="7222B70F" w14:textId="6D6922D0" w:rsidR="0069071F" w:rsidRDefault="00AA5081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Prepare summary analysis of proposed customer pricing, including contribution to company reported results and cash flows</w:t>
            </w:r>
          </w:p>
          <w:p w14:paraId="085C2F3E" w14:textId="3871E4D5" w:rsidR="004A3349" w:rsidRDefault="004A3349" w:rsidP="00AA5081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Model multiple scenarios as required by the wider bidding review team</w:t>
            </w:r>
          </w:p>
          <w:p w14:paraId="70E702B7" w14:textId="52B1B673" w:rsidR="004A3349" w:rsidRDefault="004A3349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Maintain clear version control of modelling and multiple scenarios</w:t>
            </w:r>
          </w:p>
          <w:p w14:paraId="77EE06DD" w14:textId="7ADC4F9C" w:rsidR="00E12079" w:rsidRDefault="00AA5081" w:rsidP="0069071F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Support wider bid team and commercial</w:t>
            </w:r>
            <w:r w:rsidR="006C0C53">
              <w:rPr>
                <w:rFonts w:cs="Tahoma"/>
                <w:sz w:val="20"/>
                <w:szCs w:val="20"/>
              </w:rPr>
              <w:t xml:space="preserve"> team</w:t>
            </w:r>
            <w:r>
              <w:rPr>
                <w:rFonts w:cs="Tahoma"/>
                <w:sz w:val="20"/>
                <w:szCs w:val="20"/>
              </w:rPr>
              <w:t xml:space="preserve"> in fulfilling</w:t>
            </w:r>
            <w:r w:rsidR="006C0C53">
              <w:rPr>
                <w:rFonts w:cs="Tahoma"/>
                <w:sz w:val="20"/>
                <w:szCs w:val="20"/>
              </w:rPr>
              <w:t xml:space="preserve"> customer requirements for</w:t>
            </w:r>
            <w:r w:rsidR="00E12079">
              <w:rPr>
                <w:rFonts w:cs="Tahoma"/>
                <w:sz w:val="20"/>
                <w:szCs w:val="20"/>
              </w:rPr>
              <w:t xml:space="preserve"> </w:t>
            </w:r>
            <w:r w:rsidR="006C0C53">
              <w:rPr>
                <w:rFonts w:cs="Tahoma"/>
                <w:sz w:val="20"/>
                <w:szCs w:val="20"/>
              </w:rPr>
              <w:t xml:space="preserve">cost audits, including where applicable </w:t>
            </w:r>
            <w:r w:rsidR="00E12079">
              <w:rPr>
                <w:rFonts w:cs="Tahoma"/>
                <w:sz w:val="20"/>
                <w:szCs w:val="20"/>
              </w:rPr>
              <w:t>Single Source Contract Regulations</w:t>
            </w:r>
            <w:r w:rsidR="006C0C53">
              <w:rPr>
                <w:rFonts w:cs="Tahoma"/>
                <w:sz w:val="20"/>
                <w:szCs w:val="20"/>
              </w:rPr>
              <w:t>, which includes direct contact with external auditors (for example MOD auditors)</w:t>
            </w:r>
          </w:p>
          <w:p w14:paraId="43B96951" w14:textId="77777777" w:rsidR="009D0019" w:rsidRDefault="009D0019" w:rsidP="009D0019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Monitoring and forecasting of bid cost expenditure, including reporting to bid managers</w:t>
            </w:r>
          </w:p>
          <w:p w14:paraId="03B9C33F" w14:textId="00C0D96A" w:rsidR="00123594" w:rsidRPr="00890E63" w:rsidRDefault="009E2C29" w:rsidP="00F07F63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>Provide support to contract accountant once contract has been secured and commenced to ensure a seamless transition between bidding and active contracts, sharing relevant information to ensure success of contract accountant in delivering BAU reporting for contract</w:t>
            </w:r>
          </w:p>
        </w:tc>
      </w:tr>
      <w:tr w:rsidR="00DC3481" w:rsidRPr="00890E63" w14:paraId="05D5B2AC" w14:textId="77777777" w:rsidTr="00DC3481">
        <w:trPr>
          <w:gridBefore w:val="1"/>
          <w:wBefore w:w="425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B9748EE" w14:textId="5EEE4C3D" w:rsidR="00DC3481" w:rsidRPr="00DC3481" w:rsidRDefault="00DC3481" w:rsidP="00DC3481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C3481">
              <w:rPr>
                <w:rFonts w:ascii="Tahoma" w:hAnsi="Tahoma" w:cs="Tahoma"/>
                <w:sz w:val="22"/>
                <w:szCs w:val="22"/>
                <w:lang w:val="en-US"/>
              </w:rPr>
              <w:lastRenderedPageBreak/>
              <w:t>Key Responsibiliti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e</w:t>
            </w:r>
            <w:r w:rsidRPr="00DC3481">
              <w:rPr>
                <w:rFonts w:ascii="Tahoma" w:hAnsi="Tahoma" w:cs="Tahoma"/>
                <w:sz w:val="22"/>
                <w:szCs w:val="22"/>
                <w:lang w:val="en-US"/>
              </w:rPr>
              <w:t>s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(continued) </w:t>
            </w:r>
          </w:p>
        </w:tc>
      </w:tr>
      <w:tr w:rsidR="00DC3481" w:rsidRPr="00890E63" w14:paraId="0A5B2BEA" w14:textId="77777777" w:rsidTr="00DC3481">
        <w:trPr>
          <w:gridBefore w:val="1"/>
          <w:wBefore w:w="425" w:type="dxa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CA6" w14:textId="77777777" w:rsidR="00DC3481" w:rsidRDefault="00DC3481" w:rsidP="002F5445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E9E2C15" w14:textId="77777777" w:rsidR="00F07F63" w:rsidRDefault="00F07F63" w:rsidP="00F07F63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Support with external audit queries where applicable</w:t>
            </w:r>
          </w:p>
          <w:p w14:paraId="750E1AA3" w14:textId="77777777" w:rsidR="00F07F63" w:rsidRPr="00123594" w:rsidRDefault="00F07F63" w:rsidP="00F07F63">
            <w:pPr>
              <w:numPr>
                <w:ilvl w:val="0"/>
                <w:numId w:val="20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t xml:space="preserve">Other ad hoc financial analysis and support to the wider Finance team as required </w:t>
            </w:r>
          </w:p>
          <w:p w14:paraId="19EB4DC2" w14:textId="77777777" w:rsidR="00F07F63" w:rsidRPr="002D17DE" w:rsidRDefault="00F07F63" w:rsidP="002F5445">
            <w:pPr>
              <w:pStyle w:val="ListParagraph"/>
              <w:ind w:left="360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55076249" w14:textId="727D86DE" w:rsidR="00DC3481" w:rsidRPr="00853CDA" w:rsidRDefault="00DC3481" w:rsidP="00DC3481">
            <w:pPr>
              <w:rPr>
                <w:rFonts w:cs="Tahoma"/>
                <w:b/>
                <w:color w:val="44546A"/>
                <w:sz w:val="20"/>
                <w:szCs w:val="20"/>
                <w:lang w:val="en-US"/>
              </w:rPr>
            </w:pPr>
            <w:r w:rsidRPr="00BB2167">
              <w:rPr>
                <w:rFonts w:cs="Tahoma"/>
                <w:b/>
                <w:color w:val="44546A"/>
                <w:sz w:val="20"/>
                <w:szCs w:val="20"/>
                <w:lang w:val="en-US"/>
              </w:rPr>
              <w:t>General</w:t>
            </w:r>
          </w:p>
          <w:p w14:paraId="17526004" w14:textId="77777777" w:rsidR="00DC3481" w:rsidRPr="00853CDA" w:rsidRDefault="00DC3481" w:rsidP="00DC3481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cs="Tahoma"/>
                <w:sz w:val="20"/>
                <w:szCs w:val="20"/>
              </w:rPr>
            </w:pPr>
            <w:r w:rsidRPr="00853CDA">
              <w:rPr>
                <w:rFonts w:cs="Tahoma"/>
                <w:sz w:val="20"/>
                <w:szCs w:val="20"/>
              </w:rPr>
              <w:t xml:space="preserve">Consistently and openly demonstrate a commitment to the </w:t>
            </w:r>
            <w:r>
              <w:rPr>
                <w:rFonts w:cs="Tahoma"/>
                <w:sz w:val="20"/>
                <w:szCs w:val="20"/>
              </w:rPr>
              <w:t>Draken Europe</w:t>
            </w:r>
            <w:r w:rsidRPr="00853CDA">
              <w:rPr>
                <w:rFonts w:cs="Tahoma"/>
                <w:sz w:val="20"/>
                <w:szCs w:val="20"/>
              </w:rPr>
              <w:t xml:space="preserve"> values</w:t>
            </w:r>
            <w:r>
              <w:rPr>
                <w:rFonts w:cs="Tahoma"/>
                <w:sz w:val="20"/>
                <w:szCs w:val="20"/>
              </w:rPr>
              <w:t>, ensuring that Health and Safety remains the top priority</w:t>
            </w:r>
          </w:p>
          <w:p w14:paraId="4E3A3698" w14:textId="77777777" w:rsidR="00DC3481" w:rsidRPr="00853CDA" w:rsidRDefault="00DC3481" w:rsidP="00DC3481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after="0"/>
              <w:rPr>
                <w:rFonts w:cs="Tahoma"/>
                <w:sz w:val="20"/>
                <w:szCs w:val="20"/>
              </w:rPr>
            </w:pPr>
            <w:r w:rsidRPr="00853CDA">
              <w:rPr>
                <w:rFonts w:cs="Tahoma"/>
                <w:sz w:val="20"/>
                <w:szCs w:val="20"/>
              </w:rPr>
              <w:t>Understand and act in accordance with all company policies, procedures and regulations</w:t>
            </w:r>
          </w:p>
          <w:p w14:paraId="475E5E79" w14:textId="77777777" w:rsidR="00DC3481" w:rsidRPr="00DC3481" w:rsidRDefault="00DC3481" w:rsidP="00DC3481">
            <w:pPr>
              <w:rPr>
                <w:rFonts w:cs="Tahoma"/>
                <w:szCs w:val="22"/>
                <w:lang w:val="en-US"/>
              </w:rPr>
            </w:pPr>
          </w:p>
        </w:tc>
      </w:tr>
    </w:tbl>
    <w:p w14:paraId="1E22BAEA" w14:textId="77777777" w:rsidR="00DC3481" w:rsidRDefault="00DC3481">
      <w:pPr>
        <w:rPr>
          <w:rFonts w:cs="Tahoma"/>
        </w:rPr>
      </w:pPr>
    </w:p>
    <w:p w14:paraId="0394B47A" w14:textId="77777777" w:rsidR="004A3349" w:rsidRPr="00890E63" w:rsidRDefault="004A3349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5"/>
      </w:tblGrid>
      <w:tr w:rsidR="007C2EFF" w:rsidRPr="00890E63" w14:paraId="269D93C1" w14:textId="77777777" w:rsidTr="00DC3481">
        <w:trPr>
          <w:jc w:val="center"/>
        </w:trPr>
        <w:tc>
          <w:tcPr>
            <w:tcW w:w="9395" w:type="dxa"/>
            <w:shd w:val="clear" w:color="auto" w:fill="808080" w:themeFill="background1" w:themeFillShade="80"/>
          </w:tcPr>
          <w:p w14:paraId="62C7D0AE" w14:textId="650E526C" w:rsidR="007C2EFF" w:rsidRPr="00890E63" w:rsidRDefault="00377D94" w:rsidP="00026512">
            <w:pPr>
              <w:spacing w:before="120" w:after="120"/>
              <w:rPr>
                <w:rFonts w:cs="Tahoma"/>
                <w:b/>
              </w:rPr>
            </w:pPr>
            <w:r>
              <w:rPr>
                <w:rFonts w:cs="Tahoma"/>
                <w:b/>
                <w:color w:val="FFFFFF" w:themeColor="background1"/>
              </w:rPr>
              <w:t xml:space="preserve">Qualification, Experience and </w:t>
            </w:r>
            <w:r w:rsidR="007C2EFF" w:rsidRPr="005E6F8E">
              <w:rPr>
                <w:rFonts w:cs="Tahoma"/>
                <w:b/>
                <w:color w:val="FFFFFF" w:themeColor="background1"/>
              </w:rPr>
              <w:t xml:space="preserve">Core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Competencies</w:t>
            </w:r>
          </w:p>
        </w:tc>
      </w:tr>
      <w:tr w:rsidR="007C2EFF" w:rsidRPr="00890E63" w14:paraId="1C820530" w14:textId="77777777" w:rsidTr="00DC3481">
        <w:trPr>
          <w:jc w:val="center"/>
        </w:trPr>
        <w:tc>
          <w:tcPr>
            <w:tcW w:w="9395" w:type="dxa"/>
          </w:tcPr>
          <w:p w14:paraId="063A2636" w14:textId="77777777" w:rsidR="00C737B5" w:rsidRPr="00D81152" w:rsidRDefault="00C737B5" w:rsidP="00D81152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7FD8A9F3" w14:textId="016161B2" w:rsidR="0069071F" w:rsidRPr="00AA5081" w:rsidRDefault="0052362E" w:rsidP="0052362E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52362E">
              <w:rPr>
                <w:rFonts w:ascii="Tahoma" w:hAnsi="Tahoma" w:cs="Tahoma"/>
                <w:sz w:val="20"/>
                <w:szCs w:val="20"/>
              </w:rPr>
              <w:t xml:space="preserve">Qualified Accountant (ACA, </w:t>
            </w:r>
            <w:r w:rsidR="00497B36">
              <w:rPr>
                <w:rFonts w:ascii="Tahoma" w:hAnsi="Tahoma" w:cs="Tahoma"/>
                <w:sz w:val="20"/>
                <w:szCs w:val="20"/>
              </w:rPr>
              <w:t xml:space="preserve">ACCA, </w:t>
            </w:r>
            <w:r w:rsidRPr="0052362E">
              <w:rPr>
                <w:rFonts w:ascii="Tahoma" w:hAnsi="Tahoma" w:cs="Tahoma"/>
                <w:sz w:val="20"/>
                <w:szCs w:val="20"/>
              </w:rPr>
              <w:t>CIMA, CPA or equivalent)</w:t>
            </w:r>
            <w:r w:rsidR="0069071F" w:rsidRPr="0052362E">
              <w:rPr>
                <w:rFonts w:cs="Tahoma"/>
                <w:sz w:val="20"/>
                <w:szCs w:val="20"/>
              </w:rPr>
              <w:t xml:space="preserve"> with demonstrable accounting experience and strong intellectual curiosity</w:t>
            </w:r>
          </w:p>
          <w:p w14:paraId="47DB3754" w14:textId="3DA2310B" w:rsidR="00AA5081" w:rsidRPr="00F07F63" w:rsidRDefault="00E63582" w:rsidP="0052362E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F07F63">
              <w:rPr>
                <w:rFonts w:cs="Tahoma"/>
                <w:sz w:val="20"/>
                <w:szCs w:val="20"/>
              </w:rPr>
              <w:t xml:space="preserve">Experience </w:t>
            </w:r>
            <w:r w:rsidR="00AA5081" w:rsidRPr="00F07F63">
              <w:rPr>
                <w:rFonts w:cs="Tahoma"/>
                <w:sz w:val="20"/>
                <w:szCs w:val="20"/>
              </w:rPr>
              <w:t>of Government contract pricing framework</w:t>
            </w:r>
            <w:r w:rsidRPr="00F07F63">
              <w:rPr>
                <w:rFonts w:cs="Tahoma"/>
                <w:sz w:val="20"/>
                <w:szCs w:val="20"/>
              </w:rPr>
              <w:t>s</w:t>
            </w:r>
            <w:r w:rsidR="00AA5081" w:rsidRPr="00F07F63">
              <w:rPr>
                <w:rFonts w:cs="Tahoma"/>
                <w:sz w:val="20"/>
                <w:szCs w:val="20"/>
              </w:rPr>
              <w:t xml:space="preserve"> and requirements is desirable but not essential</w:t>
            </w:r>
          </w:p>
          <w:p w14:paraId="07C1482D" w14:textId="77777777" w:rsidR="0052362E" w:rsidRPr="00BB2167" w:rsidRDefault="0052362E" w:rsidP="0052362E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  <w:r w:rsidRPr="00BB2167">
              <w:rPr>
                <w:rFonts w:cs="Tahoma"/>
                <w:sz w:val="20"/>
                <w:szCs w:val="20"/>
              </w:rPr>
              <w:t xml:space="preserve">xcellent Microsoft Excel/financial modelling and analytical skills </w:t>
            </w:r>
          </w:p>
          <w:p w14:paraId="1CFAA584" w14:textId="77777777" w:rsidR="0052362E" w:rsidRDefault="0052362E" w:rsidP="0052362E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BB30F1">
              <w:rPr>
                <w:rFonts w:cs="Tahoma"/>
                <w:sz w:val="20"/>
                <w:szCs w:val="20"/>
              </w:rPr>
              <w:t>Ability to work unsupervised, with the drive t</w:t>
            </w:r>
            <w:r>
              <w:rPr>
                <w:rFonts w:cs="Tahoma"/>
                <w:sz w:val="20"/>
                <w:szCs w:val="20"/>
              </w:rPr>
              <w:t>o understand complex, multi-faceted scenarios from a financial perspective</w:t>
            </w:r>
          </w:p>
          <w:p w14:paraId="56AC7126" w14:textId="77777777" w:rsidR="0052362E" w:rsidRPr="00941E4B" w:rsidRDefault="0052362E" w:rsidP="0052362E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941E4B">
              <w:rPr>
                <w:rFonts w:cs="Tahoma"/>
                <w:sz w:val="20"/>
                <w:szCs w:val="20"/>
              </w:rPr>
              <w:t>Prepared to work flexibly to achieve deadlines and multi-task, re-adjusting priori</w:t>
            </w:r>
            <w:r>
              <w:rPr>
                <w:rFonts w:cs="Tahoma"/>
                <w:sz w:val="20"/>
                <w:szCs w:val="20"/>
              </w:rPr>
              <w:t>ties and delivering accordingly</w:t>
            </w:r>
          </w:p>
          <w:p w14:paraId="307DA17D" w14:textId="77777777" w:rsidR="0052362E" w:rsidRDefault="0052362E" w:rsidP="0052362E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 w:rsidRPr="00941E4B">
              <w:rPr>
                <w:rFonts w:cs="Tahoma"/>
                <w:sz w:val="20"/>
                <w:szCs w:val="20"/>
              </w:rPr>
              <w:t>Strong interpersonal skills with the ability t</w:t>
            </w:r>
            <w:r>
              <w:rPr>
                <w:rFonts w:cs="Tahoma"/>
                <w:sz w:val="20"/>
                <w:szCs w:val="20"/>
              </w:rPr>
              <w:t>he confidence and communications skills to</w:t>
            </w:r>
            <w:r w:rsidRPr="00941E4B">
              <w:rPr>
                <w:rFonts w:cs="Tahoma"/>
                <w:sz w:val="20"/>
                <w:szCs w:val="20"/>
              </w:rPr>
              <w:t xml:space="preserve"> work in cross-functional teams and to influence others at</w:t>
            </w:r>
            <w:r>
              <w:rPr>
                <w:rFonts w:cs="Tahoma"/>
                <w:sz w:val="20"/>
                <w:szCs w:val="20"/>
              </w:rPr>
              <w:t xml:space="preserve"> all levels of the organisation, applying healthy and vigorous challenge where appropriate</w:t>
            </w:r>
          </w:p>
          <w:p w14:paraId="5EA8F45A" w14:textId="77777777" w:rsidR="0052362E" w:rsidRDefault="0052362E" w:rsidP="0052362E">
            <w:pPr>
              <w:numPr>
                <w:ilvl w:val="0"/>
                <w:numId w:val="15"/>
              </w:num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Able t</w:t>
            </w:r>
            <w:r w:rsidRPr="00BB30F1">
              <w:rPr>
                <w:rFonts w:cs="Tahoma"/>
                <w:sz w:val="20"/>
                <w:szCs w:val="20"/>
              </w:rPr>
              <w:t xml:space="preserve">o present and communicate financial information to </w:t>
            </w:r>
            <w:r>
              <w:rPr>
                <w:rFonts w:cs="Tahoma"/>
                <w:sz w:val="20"/>
                <w:szCs w:val="20"/>
              </w:rPr>
              <w:t xml:space="preserve">both </w:t>
            </w:r>
            <w:r w:rsidRPr="00BB30F1">
              <w:rPr>
                <w:rFonts w:cs="Tahoma"/>
                <w:sz w:val="20"/>
                <w:szCs w:val="20"/>
              </w:rPr>
              <w:t xml:space="preserve">Finance and non-Finance colleagues </w:t>
            </w:r>
          </w:p>
          <w:p w14:paraId="12B30687" w14:textId="77777777" w:rsidR="0052362E" w:rsidRPr="0002791D" w:rsidRDefault="0052362E" w:rsidP="0052362E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02791D">
              <w:rPr>
                <w:rFonts w:ascii="Tahoma" w:hAnsi="Tahoma" w:cs="Tahoma"/>
                <w:sz w:val="20"/>
                <w:szCs w:val="20"/>
                <w:lang w:val="en-US"/>
              </w:rPr>
              <w:t>Sound technical skills and an ability to work both at a detailed level and higher review level</w:t>
            </w:r>
          </w:p>
          <w:p w14:paraId="790E16BF" w14:textId="77777777" w:rsidR="0052362E" w:rsidRPr="0002791D" w:rsidRDefault="0052362E" w:rsidP="0052362E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02791D">
              <w:rPr>
                <w:rFonts w:ascii="Tahoma" w:hAnsi="Tahoma" w:cs="Tahoma"/>
                <w:sz w:val="20"/>
                <w:szCs w:val="20"/>
                <w:lang w:val="en-US"/>
              </w:rPr>
              <w:t>Strong commercial bias</w:t>
            </w:r>
          </w:p>
          <w:p w14:paraId="06B97041" w14:textId="77777777" w:rsidR="0052362E" w:rsidRPr="0052362E" w:rsidRDefault="0052362E" w:rsidP="0052362E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02791D">
              <w:rPr>
                <w:rFonts w:ascii="Tahoma" w:hAnsi="Tahoma" w:cs="Tahoma"/>
                <w:sz w:val="20"/>
                <w:szCs w:val="20"/>
                <w:lang w:val="en-US"/>
              </w:rPr>
              <w:t>Experience in a deadline driven environment where quality must be maintained</w:t>
            </w:r>
          </w:p>
          <w:p w14:paraId="532062FA" w14:textId="55190CA9" w:rsidR="004469D1" w:rsidRPr="0052362E" w:rsidRDefault="004469D1" w:rsidP="0052362E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0DD04A" w14:textId="77777777" w:rsidR="007C2EFF" w:rsidRPr="00890E63" w:rsidRDefault="007C2EFF" w:rsidP="005B5109">
      <w:pPr>
        <w:rPr>
          <w:rFonts w:cs="Tahoma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90E63" w14:paraId="074DBD1E" w14:textId="77777777" w:rsidTr="005E6F8E">
        <w:trPr>
          <w:jc w:val="center"/>
        </w:trPr>
        <w:tc>
          <w:tcPr>
            <w:tcW w:w="9395" w:type="dxa"/>
            <w:shd w:val="clear" w:color="auto" w:fill="808080" w:themeFill="background1" w:themeFillShade="80"/>
          </w:tcPr>
          <w:p w14:paraId="03FC7629" w14:textId="77777777" w:rsidR="007C2EFF" w:rsidRPr="00890E63" w:rsidRDefault="007C2EFF" w:rsidP="00026512">
            <w:pPr>
              <w:spacing w:before="120" w:after="120"/>
              <w:rPr>
                <w:rFonts w:cs="Tahoma"/>
                <w:b/>
              </w:rPr>
            </w:pPr>
            <w:r w:rsidRPr="005E6F8E">
              <w:rPr>
                <w:rFonts w:cs="Tahoma"/>
                <w:b/>
                <w:color w:val="FFFFFF" w:themeColor="background1"/>
              </w:rPr>
              <w:t xml:space="preserve">Key </w:t>
            </w:r>
            <w:r w:rsidR="00D339D4" w:rsidRPr="005E6F8E">
              <w:rPr>
                <w:rFonts w:cs="Tahoma"/>
                <w:b/>
                <w:color w:val="FFFFFF" w:themeColor="background1"/>
              </w:rPr>
              <w:t>Measures</w:t>
            </w:r>
          </w:p>
        </w:tc>
      </w:tr>
      <w:tr w:rsidR="007C2EFF" w:rsidRPr="00890E63" w14:paraId="3F3D956D" w14:textId="77777777" w:rsidTr="00555C3B">
        <w:trPr>
          <w:jc w:val="center"/>
        </w:trPr>
        <w:tc>
          <w:tcPr>
            <w:tcW w:w="9395" w:type="dxa"/>
          </w:tcPr>
          <w:p w14:paraId="05A95608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Timeliness and integrity of financial models and supporting assumptions as part of overall bid delivery</w:t>
            </w:r>
          </w:p>
          <w:p w14:paraId="4C562BF3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Effective working relationships with key stakeholders</w:t>
            </w:r>
          </w:p>
          <w:p w14:paraId="20E0E837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Sound relationship with Project/contract team</w:t>
            </w:r>
          </w:p>
          <w:p w14:paraId="6F393EC6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Accurate reporting of financial performance</w:t>
            </w:r>
          </w:p>
          <w:p w14:paraId="022A25FF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Successful bid support/investment decision support</w:t>
            </w:r>
          </w:p>
          <w:p w14:paraId="2600690D" w14:textId="77777777" w:rsidR="0052362E" w:rsidRPr="00377D94" w:rsidRDefault="0052362E" w:rsidP="00377D94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377D94">
              <w:rPr>
                <w:rFonts w:ascii="Tahoma" w:hAnsi="Tahoma" w:cs="Tahoma"/>
                <w:sz w:val="20"/>
                <w:szCs w:val="20"/>
              </w:rPr>
              <w:t>Reporting clear and timely information</w:t>
            </w:r>
          </w:p>
          <w:p w14:paraId="39C11489" w14:textId="77777777" w:rsidR="008A3017" w:rsidRPr="00890E63" w:rsidRDefault="008A3017" w:rsidP="004425E7">
            <w:pPr>
              <w:ind w:left="360"/>
              <w:rPr>
                <w:rFonts w:cs="Tahoma"/>
                <w:lang w:val="en-US"/>
              </w:rPr>
            </w:pPr>
          </w:p>
        </w:tc>
      </w:tr>
    </w:tbl>
    <w:p w14:paraId="389A3F47" w14:textId="77777777" w:rsidR="003344B8" w:rsidRPr="00890E63" w:rsidRDefault="003344B8" w:rsidP="005B5109">
      <w:pPr>
        <w:rPr>
          <w:rFonts w:cs="Tahoma"/>
        </w:rPr>
      </w:pPr>
    </w:p>
    <w:p w14:paraId="107A67FA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Job Holder: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2F3ABDA" w14:textId="77777777" w:rsidR="003344B8" w:rsidRPr="00890E63" w:rsidRDefault="003344B8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19148F5B" w14:textId="77777777" w:rsidR="003344B8" w:rsidRPr="00890E63" w:rsidRDefault="003344B8" w:rsidP="00555C3B">
      <w:pPr>
        <w:tabs>
          <w:tab w:val="left" w:pos="1260"/>
          <w:tab w:val="right" w:pos="9356"/>
        </w:tabs>
        <w:jc w:val="center"/>
        <w:rPr>
          <w:rFonts w:cs="Tahoma"/>
        </w:rPr>
      </w:pPr>
      <w:r w:rsidRPr="00890E63">
        <w:rPr>
          <w:rFonts w:cs="Tahoma"/>
        </w:rPr>
        <w:t>Manager:</w:t>
      </w:r>
      <w:r w:rsidRPr="00890E63">
        <w:rPr>
          <w:rFonts w:cs="Tahoma"/>
        </w:rPr>
        <w:tab/>
        <w:t>_____________________________</w:t>
      </w:r>
      <w:r w:rsidRPr="00890E63">
        <w:rPr>
          <w:rFonts w:cs="Tahoma"/>
        </w:rPr>
        <w:tab/>
        <w:t xml:space="preserve">Signed: </w:t>
      </w:r>
      <w:r w:rsidR="00555C3B" w:rsidRPr="00890E63">
        <w:rPr>
          <w:rFonts w:cs="Tahoma"/>
        </w:rPr>
        <w:t>______________________________</w:t>
      </w:r>
    </w:p>
    <w:p w14:paraId="44CC62A3" w14:textId="77777777" w:rsidR="00555C3B" w:rsidRPr="00890E63" w:rsidRDefault="00555C3B" w:rsidP="00555C3B">
      <w:pPr>
        <w:tabs>
          <w:tab w:val="left" w:pos="1260"/>
          <w:tab w:val="right" w:pos="9637"/>
        </w:tabs>
        <w:jc w:val="center"/>
        <w:rPr>
          <w:rFonts w:cs="Tahoma"/>
        </w:rPr>
      </w:pPr>
    </w:p>
    <w:p w14:paraId="6FF0D31D" w14:textId="77777777" w:rsidR="003344B8" w:rsidRPr="00890E63" w:rsidRDefault="003344B8" w:rsidP="00555C3B">
      <w:pPr>
        <w:tabs>
          <w:tab w:val="left" w:pos="1260"/>
          <w:tab w:val="right" w:pos="9356"/>
        </w:tabs>
        <w:rPr>
          <w:rFonts w:cs="Tahoma"/>
        </w:rPr>
      </w:pPr>
      <w:r w:rsidRPr="00890E63">
        <w:rPr>
          <w:rFonts w:cs="Tahoma"/>
        </w:rPr>
        <w:t>Date:</w:t>
      </w:r>
      <w:r w:rsidRPr="00890E63">
        <w:rPr>
          <w:rFonts w:cs="Tahoma"/>
        </w:rPr>
        <w:tab/>
        <w:t>_____________________________</w:t>
      </w:r>
    </w:p>
    <w:sectPr w:rsidR="003344B8" w:rsidRPr="00890E63" w:rsidSect="00555C3B">
      <w:headerReference w:type="default" r:id="rId8"/>
      <w:footerReference w:type="default" r:id="rId9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9FA71" w14:textId="77777777" w:rsidR="007B3153" w:rsidRDefault="007B3153">
      <w:r>
        <w:separator/>
      </w:r>
    </w:p>
  </w:endnote>
  <w:endnote w:type="continuationSeparator" w:id="0">
    <w:p w14:paraId="0808BBC0" w14:textId="77777777" w:rsidR="007B3153" w:rsidRDefault="007B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21647" w14:textId="77777777" w:rsidR="0013762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</w:p>
  <w:p w14:paraId="13AD72DE" w14:textId="77777777" w:rsidR="00137626" w:rsidRPr="00801C33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r>
      <w:rPr>
        <w:sz w:val="20"/>
        <w:szCs w:val="20"/>
      </w:rPr>
      <w:t>Reference Document:</w:t>
    </w:r>
    <w:r>
      <w:rPr>
        <w:sz w:val="20"/>
        <w:szCs w:val="20"/>
      </w:rPr>
      <w:tab/>
      <w:t>FRCA 2900-0</w:t>
    </w:r>
    <w:r w:rsidR="00962E74">
      <w:rPr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FFD1" w14:textId="77777777" w:rsidR="007B3153" w:rsidRDefault="007B3153">
      <w:r>
        <w:separator/>
      </w:r>
    </w:p>
  </w:footnote>
  <w:footnote w:type="continuationSeparator" w:id="0">
    <w:p w14:paraId="76CC4B28" w14:textId="77777777" w:rsidR="007B3153" w:rsidRDefault="007B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AF53" w14:textId="77777777" w:rsidR="00137626" w:rsidRDefault="005E6F8E" w:rsidP="00D339D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C8E0B" wp14:editId="6B720C2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4885" cy="212951"/>
          <wp:effectExtent l="0" t="0" r="5715" b="0"/>
          <wp:wrapNone/>
          <wp:docPr id="90" name="Bildobjekt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Bildobjekt 9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4885" cy="212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DE53C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6DA8"/>
    <w:multiLevelType w:val="hybridMultilevel"/>
    <w:tmpl w:val="340E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753E"/>
    <w:multiLevelType w:val="hybridMultilevel"/>
    <w:tmpl w:val="19564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156045"/>
    <w:multiLevelType w:val="hybridMultilevel"/>
    <w:tmpl w:val="ED349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6E216C"/>
    <w:multiLevelType w:val="hybridMultilevel"/>
    <w:tmpl w:val="CDCA5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2B5FE4"/>
    <w:multiLevelType w:val="hybridMultilevel"/>
    <w:tmpl w:val="6E04E92C"/>
    <w:lvl w:ilvl="0" w:tplc="A4F6E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04071"/>
    <w:multiLevelType w:val="hybridMultilevel"/>
    <w:tmpl w:val="DC88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EC83AF6"/>
    <w:multiLevelType w:val="hybridMultilevel"/>
    <w:tmpl w:val="5520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1A05BFE"/>
    <w:multiLevelType w:val="hybridMultilevel"/>
    <w:tmpl w:val="93046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6C411DB"/>
    <w:multiLevelType w:val="hybridMultilevel"/>
    <w:tmpl w:val="83281B42"/>
    <w:lvl w:ilvl="0" w:tplc="97CE3D18">
      <w:start w:val="1"/>
      <w:numFmt w:val="bullet"/>
      <w:lvlText w:val=""/>
      <w:lvlJc w:val="left"/>
      <w:pPr>
        <w:tabs>
          <w:tab w:val="num" w:pos="680"/>
        </w:tabs>
        <w:ind w:left="624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753794">
    <w:abstractNumId w:val="21"/>
  </w:num>
  <w:num w:numId="2" w16cid:durableId="121462656">
    <w:abstractNumId w:val="17"/>
  </w:num>
  <w:num w:numId="3" w16cid:durableId="839933496">
    <w:abstractNumId w:val="14"/>
  </w:num>
  <w:num w:numId="4" w16cid:durableId="186994253">
    <w:abstractNumId w:val="5"/>
  </w:num>
  <w:num w:numId="5" w16cid:durableId="744842543">
    <w:abstractNumId w:val="19"/>
  </w:num>
  <w:num w:numId="6" w16cid:durableId="1675843418">
    <w:abstractNumId w:val="0"/>
  </w:num>
  <w:num w:numId="7" w16cid:durableId="898326776">
    <w:abstractNumId w:val="12"/>
  </w:num>
  <w:num w:numId="8" w16cid:durableId="998458445">
    <w:abstractNumId w:val="4"/>
  </w:num>
  <w:num w:numId="9" w16cid:durableId="521280944">
    <w:abstractNumId w:val="7"/>
  </w:num>
  <w:num w:numId="10" w16cid:durableId="634795892">
    <w:abstractNumId w:val="13"/>
  </w:num>
  <w:num w:numId="11" w16cid:durableId="1736589638">
    <w:abstractNumId w:val="9"/>
  </w:num>
  <w:num w:numId="12" w16cid:durableId="1614703259">
    <w:abstractNumId w:val="2"/>
  </w:num>
  <w:num w:numId="13" w16cid:durableId="1510868315">
    <w:abstractNumId w:val="11"/>
  </w:num>
  <w:num w:numId="14" w16cid:durableId="1980063391">
    <w:abstractNumId w:val="10"/>
  </w:num>
  <w:num w:numId="15" w16cid:durableId="735055367">
    <w:abstractNumId w:val="1"/>
  </w:num>
  <w:num w:numId="16" w16cid:durableId="108473304">
    <w:abstractNumId w:val="6"/>
  </w:num>
  <w:num w:numId="17" w16cid:durableId="2031299243">
    <w:abstractNumId w:val="8"/>
  </w:num>
  <w:num w:numId="18" w16cid:durableId="1121268098">
    <w:abstractNumId w:val="18"/>
  </w:num>
  <w:num w:numId="19" w16cid:durableId="1096243320">
    <w:abstractNumId w:val="22"/>
  </w:num>
  <w:num w:numId="20" w16cid:durableId="1669285005">
    <w:abstractNumId w:val="15"/>
  </w:num>
  <w:num w:numId="21" w16cid:durableId="1597446897">
    <w:abstractNumId w:val="16"/>
  </w:num>
  <w:num w:numId="22" w16cid:durableId="1527601903">
    <w:abstractNumId w:val="3"/>
  </w:num>
  <w:num w:numId="23" w16cid:durableId="208025077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7ED2"/>
    <w:rsid w:val="00111A94"/>
    <w:rsid w:val="001214C7"/>
    <w:rsid w:val="001221FA"/>
    <w:rsid w:val="00122B0A"/>
    <w:rsid w:val="00123594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7D6C"/>
    <w:rsid w:val="00196C0A"/>
    <w:rsid w:val="001A3199"/>
    <w:rsid w:val="001B0BCA"/>
    <w:rsid w:val="001B0EDB"/>
    <w:rsid w:val="001B3631"/>
    <w:rsid w:val="001C348A"/>
    <w:rsid w:val="001D4676"/>
    <w:rsid w:val="001E128A"/>
    <w:rsid w:val="001E2CF0"/>
    <w:rsid w:val="001E77F0"/>
    <w:rsid w:val="001F4D9C"/>
    <w:rsid w:val="002017E6"/>
    <w:rsid w:val="002057BE"/>
    <w:rsid w:val="0021009C"/>
    <w:rsid w:val="00210878"/>
    <w:rsid w:val="00212B52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05A1C"/>
    <w:rsid w:val="00326D8A"/>
    <w:rsid w:val="00330B9F"/>
    <w:rsid w:val="003344B8"/>
    <w:rsid w:val="00343D8F"/>
    <w:rsid w:val="0037411B"/>
    <w:rsid w:val="00377D94"/>
    <w:rsid w:val="00382E3E"/>
    <w:rsid w:val="00385ABF"/>
    <w:rsid w:val="003C151D"/>
    <w:rsid w:val="003D305F"/>
    <w:rsid w:val="003D7E97"/>
    <w:rsid w:val="003F0E46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469D1"/>
    <w:rsid w:val="0045467A"/>
    <w:rsid w:val="00457055"/>
    <w:rsid w:val="0046582F"/>
    <w:rsid w:val="004715AC"/>
    <w:rsid w:val="004753CF"/>
    <w:rsid w:val="004931F5"/>
    <w:rsid w:val="00497B36"/>
    <w:rsid w:val="004A3349"/>
    <w:rsid w:val="004C3DC2"/>
    <w:rsid w:val="004D1E85"/>
    <w:rsid w:val="004F4610"/>
    <w:rsid w:val="00501476"/>
    <w:rsid w:val="0051017F"/>
    <w:rsid w:val="005113B0"/>
    <w:rsid w:val="00514964"/>
    <w:rsid w:val="00516B40"/>
    <w:rsid w:val="005234C2"/>
    <w:rsid w:val="0052362E"/>
    <w:rsid w:val="005329E6"/>
    <w:rsid w:val="0054590B"/>
    <w:rsid w:val="00555C3B"/>
    <w:rsid w:val="00570DF2"/>
    <w:rsid w:val="005712D4"/>
    <w:rsid w:val="00573070"/>
    <w:rsid w:val="00581C77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E2515"/>
    <w:rsid w:val="005E2F02"/>
    <w:rsid w:val="005E45DF"/>
    <w:rsid w:val="005E6F8E"/>
    <w:rsid w:val="005F0885"/>
    <w:rsid w:val="005F57F4"/>
    <w:rsid w:val="005F5B29"/>
    <w:rsid w:val="005F7247"/>
    <w:rsid w:val="00623946"/>
    <w:rsid w:val="0063201C"/>
    <w:rsid w:val="00637335"/>
    <w:rsid w:val="006574B5"/>
    <w:rsid w:val="00674734"/>
    <w:rsid w:val="006843D9"/>
    <w:rsid w:val="00686878"/>
    <w:rsid w:val="0069071F"/>
    <w:rsid w:val="006954C1"/>
    <w:rsid w:val="006A1577"/>
    <w:rsid w:val="006A4FD0"/>
    <w:rsid w:val="006B17F2"/>
    <w:rsid w:val="006B2324"/>
    <w:rsid w:val="006B528C"/>
    <w:rsid w:val="006C0C53"/>
    <w:rsid w:val="006C13B6"/>
    <w:rsid w:val="006C4D75"/>
    <w:rsid w:val="006C611D"/>
    <w:rsid w:val="006C6F32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3728A"/>
    <w:rsid w:val="00747972"/>
    <w:rsid w:val="007511E4"/>
    <w:rsid w:val="00757CB2"/>
    <w:rsid w:val="00765199"/>
    <w:rsid w:val="00772F15"/>
    <w:rsid w:val="00782AD9"/>
    <w:rsid w:val="007B3153"/>
    <w:rsid w:val="007C2EFF"/>
    <w:rsid w:val="007E3124"/>
    <w:rsid w:val="007E710B"/>
    <w:rsid w:val="00801C33"/>
    <w:rsid w:val="0081713A"/>
    <w:rsid w:val="00817625"/>
    <w:rsid w:val="00830826"/>
    <w:rsid w:val="00832631"/>
    <w:rsid w:val="00837CD8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0019"/>
    <w:rsid w:val="009D339D"/>
    <w:rsid w:val="009E0BD4"/>
    <w:rsid w:val="009E2C29"/>
    <w:rsid w:val="009F2A8E"/>
    <w:rsid w:val="00A016B8"/>
    <w:rsid w:val="00A01FAD"/>
    <w:rsid w:val="00A043DC"/>
    <w:rsid w:val="00A32A25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5081"/>
    <w:rsid w:val="00AB1317"/>
    <w:rsid w:val="00AB1C6D"/>
    <w:rsid w:val="00AB7CB4"/>
    <w:rsid w:val="00AC08CE"/>
    <w:rsid w:val="00AC2983"/>
    <w:rsid w:val="00AC6B17"/>
    <w:rsid w:val="00AD357A"/>
    <w:rsid w:val="00B056B8"/>
    <w:rsid w:val="00B05819"/>
    <w:rsid w:val="00B243AD"/>
    <w:rsid w:val="00B25200"/>
    <w:rsid w:val="00B2766C"/>
    <w:rsid w:val="00B303C3"/>
    <w:rsid w:val="00B41939"/>
    <w:rsid w:val="00B440F8"/>
    <w:rsid w:val="00B446D9"/>
    <w:rsid w:val="00B637C5"/>
    <w:rsid w:val="00B64CA9"/>
    <w:rsid w:val="00B67F59"/>
    <w:rsid w:val="00B94DEB"/>
    <w:rsid w:val="00B9645F"/>
    <w:rsid w:val="00BA2AAB"/>
    <w:rsid w:val="00BA3BA4"/>
    <w:rsid w:val="00BA3D6F"/>
    <w:rsid w:val="00BB440A"/>
    <w:rsid w:val="00BC69F7"/>
    <w:rsid w:val="00BD0937"/>
    <w:rsid w:val="00BD108A"/>
    <w:rsid w:val="00BD52FB"/>
    <w:rsid w:val="00BE4B44"/>
    <w:rsid w:val="00BE77FF"/>
    <w:rsid w:val="00C0225A"/>
    <w:rsid w:val="00C0389C"/>
    <w:rsid w:val="00C22AEF"/>
    <w:rsid w:val="00C31E51"/>
    <w:rsid w:val="00C420C0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B470D"/>
    <w:rsid w:val="00CB5CCD"/>
    <w:rsid w:val="00CC0613"/>
    <w:rsid w:val="00CE3AE9"/>
    <w:rsid w:val="00D05C69"/>
    <w:rsid w:val="00D339D4"/>
    <w:rsid w:val="00D379BF"/>
    <w:rsid w:val="00D51D77"/>
    <w:rsid w:val="00D55FF4"/>
    <w:rsid w:val="00D712BD"/>
    <w:rsid w:val="00D81152"/>
    <w:rsid w:val="00D82998"/>
    <w:rsid w:val="00D87148"/>
    <w:rsid w:val="00DB505A"/>
    <w:rsid w:val="00DC3481"/>
    <w:rsid w:val="00DC408D"/>
    <w:rsid w:val="00DC692C"/>
    <w:rsid w:val="00DE3EF0"/>
    <w:rsid w:val="00DF5D8A"/>
    <w:rsid w:val="00E019FC"/>
    <w:rsid w:val="00E073DF"/>
    <w:rsid w:val="00E12079"/>
    <w:rsid w:val="00E17475"/>
    <w:rsid w:val="00E200D4"/>
    <w:rsid w:val="00E20F0F"/>
    <w:rsid w:val="00E45A13"/>
    <w:rsid w:val="00E63582"/>
    <w:rsid w:val="00E71FCD"/>
    <w:rsid w:val="00E757D6"/>
    <w:rsid w:val="00E9168C"/>
    <w:rsid w:val="00E9360A"/>
    <w:rsid w:val="00EA23B3"/>
    <w:rsid w:val="00ED4A58"/>
    <w:rsid w:val="00ED7EDE"/>
    <w:rsid w:val="00EE1611"/>
    <w:rsid w:val="00EE7BD6"/>
    <w:rsid w:val="00F0456E"/>
    <w:rsid w:val="00F07F63"/>
    <w:rsid w:val="00F154B1"/>
    <w:rsid w:val="00F37EE9"/>
    <w:rsid w:val="00F44B53"/>
    <w:rsid w:val="00F466E8"/>
    <w:rsid w:val="00F46A43"/>
    <w:rsid w:val="00F5050D"/>
    <w:rsid w:val="00F5075F"/>
    <w:rsid w:val="00F5348A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019B"/>
    <w:rsid w:val="00FD4871"/>
    <w:rsid w:val="00FD54F0"/>
    <w:rsid w:val="00FE437B"/>
    <w:rsid w:val="00FE5474"/>
    <w:rsid w:val="00FF0BB1"/>
    <w:rsid w:val="00FF3034"/>
    <w:rsid w:val="00FF4185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55413"/>
  <w15:docId w15:val="{AEB9D3EF-AC49-413B-B655-EA997285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uiPriority w:val="99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63582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C9347-7D45-4B86-AC22-BB5A6B5A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Brewis, Marianne</cp:lastModifiedBy>
  <cp:revision>3</cp:revision>
  <cp:lastPrinted>2015-06-03T10:43:00Z</cp:lastPrinted>
  <dcterms:created xsi:type="dcterms:W3CDTF">2024-07-31T10:31:00Z</dcterms:created>
  <dcterms:modified xsi:type="dcterms:W3CDTF">2024-07-31T10:31:00Z</dcterms:modified>
</cp:coreProperties>
</file>